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907EC" w14:textId="77777777" w:rsidR="002B15F0" w:rsidRPr="002E14D6" w:rsidRDefault="002B15F0" w:rsidP="002B15F0">
      <w:pPr>
        <w:rPr>
          <w:b/>
        </w:rPr>
      </w:pPr>
      <w:r w:rsidRPr="008505F0">
        <w:rPr>
          <w:rFonts w:ascii="Calibri" w:hAnsi="Calibri" w:cs="Calibri"/>
          <w:b/>
        </w:rPr>
        <w:t>Opdracht</w:t>
      </w:r>
      <w:r w:rsidRPr="002E14D6">
        <w:rPr>
          <w:b/>
        </w:rPr>
        <w:t xml:space="preserve"> 3.1</w:t>
      </w:r>
    </w:p>
    <w:p w14:paraId="27266387" w14:textId="77777777" w:rsidR="00204621" w:rsidRPr="00204621" w:rsidRDefault="00204621" w:rsidP="00204621">
      <w:pPr>
        <w:pStyle w:val="Kop2"/>
        <w:rPr>
          <w:rFonts w:asciiTheme="minorHAnsi" w:hAnsiTheme="minorHAnsi" w:cstheme="minorHAnsi"/>
          <w:b/>
          <w:bCs/>
          <w:sz w:val="24"/>
          <w:szCs w:val="24"/>
        </w:rPr>
      </w:pPr>
      <w:r w:rsidRPr="008505F0">
        <w:rPr>
          <w:rFonts w:ascii="Calibri" w:hAnsi="Calibri" w:cs="Calibri"/>
          <w:b/>
          <w:bCs/>
          <w:sz w:val="24"/>
          <w:szCs w:val="24"/>
        </w:rPr>
        <w:t>Conjunctureel</w:t>
      </w:r>
      <w:r w:rsidRPr="00204621">
        <w:rPr>
          <w:rFonts w:asciiTheme="minorHAnsi" w:hAnsiTheme="minorHAnsi" w:cstheme="minorHAnsi"/>
          <w:b/>
          <w:bCs/>
          <w:sz w:val="24"/>
          <w:szCs w:val="24"/>
        </w:rPr>
        <w:t xml:space="preserve"> herstel in fasen</w:t>
      </w:r>
    </w:p>
    <w:p w14:paraId="06C502AB" w14:textId="5143B573" w:rsidR="00204621" w:rsidRPr="00204621" w:rsidRDefault="00204621" w:rsidP="00204621">
      <w:pPr>
        <w:rPr>
          <w:rFonts w:asciiTheme="minorHAnsi" w:hAnsiTheme="minorHAnsi" w:cstheme="minorHAnsi"/>
        </w:rPr>
      </w:pPr>
      <w:r w:rsidRPr="00204621">
        <w:rPr>
          <w:rFonts w:asciiTheme="minorHAnsi" w:hAnsiTheme="minorHAnsi" w:cstheme="minorHAnsi"/>
        </w:rPr>
        <w:t>De conjuncturele ontwikkeling in Nederland is sterk afhankelijk van de internationale conjunctuur. Daarop heeft Nederland nauwelijks invloed en daarom voert de Nederlandse overheid vrijwel geen conjunctuurbeleid. Als de Nederlandse economie in een dal zit, moet het herstel dus vooral uit het buitenland komen. Zo’n conjunctureel herstel verloopt vaak volgens een vast patroon (zie schema). In fase 1 neemt de export toe, doordat Nederland profiteert van economische groei bij de handelspartners. In fase 2 stijgen ook de particuliere investeringen en de particuliere consumptie. Vervolgens nemen in fase 3 o</w:t>
      </w:r>
      <w:r w:rsidR="008505F0">
        <w:rPr>
          <w:rFonts w:asciiTheme="minorHAnsi" w:hAnsiTheme="minorHAnsi" w:cstheme="minorHAnsi"/>
        </w:rPr>
        <w:t>ok de overheidsbestedingen toe.</w:t>
      </w:r>
    </w:p>
    <w:p w14:paraId="4F041EAE" w14:textId="77777777" w:rsidR="00204621" w:rsidRPr="00204621" w:rsidRDefault="00204621" w:rsidP="00204621">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16"/>
        <w:gridCol w:w="3046"/>
      </w:tblGrid>
      <w:tr w:rsidR="00204621" w:rsidRPr="00204621" w14:paraId="02FEA79D" w14:textId="77777777" w:rsidTr="006A0519">
        <w:tc>
          <w:tcPr>
            <w:tcW w:w="3070" w:type="dxa"/>
          </w:tcPr>
          <w:p w14:paraId="6C19DAC4" w14:textId="77777777" w:rsidR="00204621" w:rsidRPr="00204621" w:rsidRDefault="00204621" w:rsidP="006A0519">
            <w:pPr>
              <w:rPr>
                <w:rFonts w:asciiTheme="minorHAnsi" w:hAnsiTheme="minorHAnsi" w:cstheme="minorHAnsi"/>
                <w:b/>
              </w:rPr>
            </w:pPr>
            <w:r w:rsidRPr="00204621">
              <w:rPr>
                <w:rFonts w:asciiTheme="minorHAnsi" w:hAnsiTheme="minorHAnsi" w:cstheme="minorHAnsi"/>
                <w:b/>
              </w:rPr>
              <w:t xml:space="preserve">fase 1 </w:t>
            </w:r>
          </w:p>
        </w:tc>
        <w:tc>
          <w:tcPr>
            <w:tcW w:w="3071" w:type="dxa"/>
          </w:tcPr>
          <w:p w14:paraId="36EA7E13" w14:textId="77777777" w:rsidR="00204621" w:rsidRPr="00204621" w:rsidRDefault="00204621" w:rsidP="006A0519">
            <w:pPr>
              <w:rPr>
                <w:rFonts w:asciiTheme="minorHAnsi" w:hAnsiTheme="minorHAnsi" w:cstheme="minorHAnsi"/>
                <w:b/>
              </w:rPr>
            </w:pPr>
            <w:r w:rsidRPr="00204621">
              <w:rPr>
                <w:rFonts w:asciiTheme="minorHAnsi" w:hAnsiTheme="minorHAnsi" w:cstheme="minorHAnsi"/>
                <w:b/>
              </w:rPr>
              <w:t xml:space="preserve">fase 2 </w:t>
            </w:r>
          </w:p>
        </w:tc>
        <w:tc>
          <w:tcPr>
            <w:tcW w:w="3071" w:type="dxa"/>
          </w:tcPr>
          <w:p w14:paraId="5CF375E5" w14:textId="77777777" w:rsidR="00204621" w:rsidRPr="00204621" w:rsidRDefault="00204621" w:rsidP="006A0519">
            <w:pPr>
              <w:rPr>
                <w:rFonts w:asciiTheme="minorHAnsi" w:hAnsiTheme="minorHAnsi" w:cstheme="minorHAnsi"/>
                <w:b/>
              </w:rPr>
            </w:pPr>
            <w:r w:rsidRPr="00204621">
              <w:rPr>
                <w:rFonts w:asciiTheme="minorHAnsi" w:hAnsiTheme="minorHAnsi" w:cstheme="minorHAnsi"/>
                <w:b/>
              </w:rPr>
              <w:t>fase 3</w:t>
            </w:r>
          </w:p>
        </w:tc>
      </w:tr>
      <w:tr w:rsidR="00204621" w:rsidRPr="00204621" w14:paraId="4AD9AEA0" w14:textId="77777777" w:rsidTr="006A0519">
        <w:tc>
          <w:tcPr>
            <w:tcW w:w="3070" w:type="dxa"/>
          </w:tcPr>
          <w:p w14:paraId="7E70E834" w14:textId="77777777" w:rsidR="00204621" w:rsidRPr="00204621" w:rsidRDefault="00204621" w:rsidP="006A0519">
            <w:pPr>
              <w:rPr>
                <w:rFonts w:asciiTheme="minorHAnsi" w:hAnsiTheme="minorHAnsi" w:cstheme="minorHAnsi"/>
              </w:rPr>
            </w:pPr>
            <w:r w:rsidRPr="00204621">
              <w:rPr>
                <w:rFonts w:asciiTheme="minorHAnsi" w:hAnsiTheme="minorHAnsi" w:cstheme="minorHAnsi"/>
              </w:rPr>
              <w:t xml:space="preserve">toename export </w:t>
            </w:r>
          </w:p>
        </w:tc>
        <w:tc>
          <w:tcPr>
            <w:tcW w:w="3071" w:type="dxa"/>
          </w:tcPr>
          <w:p w14:paraId="4C891F9C" w14:textId="77777777" w:rsidR="00204621" w:rsidRPr="00204621" w:rsidRDefault="00204621" w:rsidP="006A0519">
            <w:pPr>
              <w:rPr>
                <w:rFonts w:asciiTheme="minorHAnsi" w:hAnsiTheme="minorHAnsi" w:cstheme="minorHAnsi"/>
              </w:rPr>
            </w:pPr>
            <w:r w:rsidRPr="00204621">
              <w:rPr>
                <w:rFonts w:asciiTheme="minorHAnsi" w:hAnsiTheme="minorHAnsi" w:cstheme="minorHAnsi"/>
              </w:rPr>
              <w:t>ook toename investeringen en consumptie</w:t>
            </w:r>
          </w:p>
        </w:tc>
        <w:tc>
          <w:tcPr>
            <w:tcW w:w="3071" w:type="dxa"/>
          </w:tcPr>
          <w:p w14:paraId="438E72DF" w14:textId="77777777" w:rsidR="00204621" w:rsidRPr="00204621" w:rsidRDefault="00204621" w:rsidP="006A0519">
            <w:pPr>
              <w:rPr>
                <w:rFonts w:asciiTheme="minorHAnsi" w:hAnsiTheme="minorHAnsi" w:cstheme="minorHAnsi"/>
              </w:rPr>
            </w:pPr>
            <w:r w:rsidRPr="00204621">
              <w:rPr>
                <w:rFonts w:asciiTheme="minorHAnsi" w:hAnsiTheme="minorHAnsi" w:cstheme="minorHAnsi"/>
              </w:rPr>
              <w:t>ook toename overheidsbestedingen</w:t>
            </w:r>
          </w:p>
        </w:tc>
      </w:tr>
      <w:tr w:rsidR="00204621" w:rsidRPr="00204621" w14:paraId="75C33E90" w14:textId="77777777" w:rsidTr="006A0519">
        <w:tc>
          <w:tcPr>
            <w:tcW w:w="3070" w:type="dxa"/>
          </w:tcPr>
          <w:p w14:paraId="1C0D1342" w14:textId="77777777" w:rsidR="00204621" w:rsidRPr="00204621" w:rsidRDefault="00204621" w:rsidP="006A0519">
            <w:pPr>
              <w:rPr>
                <w:rFonts w:asciiTheme="minorHAnsi" w:hAnsiTheme="minorHAnsi" w:cstheme="minorHAnsi"/>
              </w:rPr>
            </w:pPr>
            <w:r w:rsidRPr="00204621">
              <w:rPr>
                <w:rFonts w:asciiTheme="minorHAnsi" w:hAnsiTheme="minorHAnsi" w:cstheme="minorHAnsi"/>
              </w:rPr>
              <w:t>beperkte stijging nationaal inkomen</w:t>
            </w:r>
          </w:p>
        </w:tc>
        <w:tc>
          <w:tcPr>
            <w:tcW w:w="3071" w:type="dxa"/>
          </w:tcPr>
          <w:p w14:paraId="3CA88A5E" w14:textId="77777777" w:rsidR="00204621" w:rsidRPr="00204621" w:rsidRDefault="00204621" w:rsidP="006A0519">
            <w:pPr>
              <w:rPr>
                <w:rFonts w:asciiTheme="minorHAnsi" w:hAnsiTheme="minorHAnsi" w:cstheme="minorHAnsi"/>
              </w:rPr>
            </w:pPr>
            <w:r w:rsidRPr="00204621">
              <w:rPr>
                <w:rFonts w:asciiTheme="minorHAnsi" w:hAnsiTheme="minorHAnsi" w:cstheme="minorHAnsi"/>
              </w:rPr>
              <w:t>stijging nationaal inkomen gelijk aan trendmatige groei</w:t>
            </w:r>
          </w:p>
        </w:tc>
        <w:tc>
          <w:tcPr>
            <w:tcW w:w="3071" w:type="dxa"/>
          </w:tcPr>
          <w:p w14:paraId="28D10540" w14:textId="77777777" w:rsidR="00204621" w:rsidRPr="00204621" w:rsidRDefault="00204621" w:rsidP="006A0519">
            <w:pPr>
              <w:rPr>
                <w:rFonts w:asciiTheme="minorHAnsi" w:hAnsiTheme="minorHAnsi" w:cstheme="minorHAnsi"/>
              </w:rPr>
            </w:pPr>
            <w:r w:rsidRPr="00204621">
              <w:rPr>
                <w:rFonts w:asciiTheme="minorHAnsi" w:hAnsiTheme="minorHAnsi" w:cstheme="minorHAnsi"/>
              </w:rPr>
              <w:t>sterke stijging nationaal inkomen</w:t>
            </w:r>
          </w:p>
        </w:tc>
      </w:tr>
    </w:tbl>
    <w:p w14:paraId="5E44241B" w14:textId="77777777" w:rsidR="00204621" w:rsidRPr="00204621" w:rsidRDefault="00204621" w:rsidP="00204621">
      <w:pPr>
        <w:rPr>
          <w:rFonts w:asciiTheme="minorHAnsi" w:hAnsiTheme="minorHAnsi" w:cstheme="minorHAnsi"/>
        </w:rPr>
      </w:pPr>
    </w:p>
    <w:p w14:paraId="7729FB25" w14:textId="421CBB85" w:rsidR="00204621" w:rsidRPr="00204621" w:rsidRDefault="00204621" w:rsidP="00204621">
      <w:pPr>
        <w:rPr>
          <w:rFonts w:asciiTheme="minorHAnsi" w:hAnsiTheme="minorHAnsi" w:cstheme="minorHAnsi"/>
        </w:rPr>
      </w:pPr>
      <w:r w:rsidRPr="00204621">
        <w:rPr>
          <w:rFonts w:asciiTheme="minorHAnsi" w:hAnsiTheme="minorHAnsi" w:cstheme="minorHAnsi"/>
        </w:rPr>
        <w:t xml:space="preserve">Als de economische groei stagneert, doet de Nederlandse overheid meestal een oproep de </w:t>
      </w:r>
      <w:r w:rsidR="008505F0">
        <w:rPr>
          <w:rFonts w:asciiTheme="minorHAnsi" w:hAnsiTheme="minorHAnsi" w:cstheme="minorHAnsi"/>
        </w:rPr>
        <w:t>loonkostenstijging te beperken.</w:t>
      </w:r>
    </w:p>
    <w:p w14:paraId="180FD8B1" w14:textId="758E9F1E" w:rsidR="00204621" w:rsidRPr="00204621" w:rsidRDefault="00204621" w:rsidP="002B15F0">
      <w:pPr>
        <w:ind w:left="426" w:hanging="426"/>
        <w:rPr>
          <w:rFonts w:asciiTheme="minorHAnsi" w:hAnsiTheme="minorHAnsi" w:cstheme="minorHAnsi"/>
        </w:rPr>
      </w:pPr>
      <w:r w:rsidRPr="00204621">
        <w:rPr>
          <w:rFonts w:asciiTheme="minorHAnsi" w:hAnsiTheme="minorHAnsi" w:cstheme="minorHAnsi"/>
        </w:rPr>
        <w:t>a</w:t>
      </w:r>
      <w:r w:rsidR="002B15F0" w:rsidRPr="00204621">
        <w:rPr>
          <w:rFonts w:asciiTheme="minorHAnsi" w:hAnsiTheme="minorHAnsi" w:cstheme="minorHAnsi"/>
        </w:rPr>
        <w:t>.</w:t>
      </w:r>
      <w:r w:rsidR="002B15F0" w:rsidRPr="00204621">
        <w:rPr>
          <w:rFonts w:asciiTheme="minorHAnsi" w:hAnsiTheme="minorHAnsi" w:cstheme="minorHAnsi"/>
        </w:rPr>
        <w:tab/>
      </w:r>
      <w:r w:rsidRPr="00204621">
        <w:rPr>
          <w:rFonts w:asciiTheme="minorHAnsi" w:hAnsiTheme="minorHAnsi" w:cstheme="minorHAnsi"/>
        </w:rPr>
        <w:t>Leg uit hoe in fase 1 een beperking van de loonkostenstijging in Nederland de economische gro</w:t>
      </w:r>
      <w:r w:rsidR="008505F0">
        <w:rPr>
          <w:rFonts w:asciiTheme="minorHAnsi" w:hAnsiTheme="minorHAnsi" w:cstheme="minorHAnsi"/>
        </w:rPr>
        <w:t>ei in Nederland kan bevorderen.</w:t>
      </w:r>
    </w:p>
    <w:p w14:paraId="2BFDDCD2" w14:textId="3FF1D03B" w:rsidR="00204621" w:rsidRPr="00204621" w:rsidRDefault="00204621" w:rsidP="002B15F0">
      <w:pPr>
        <w:ind w:left="426" w:hanging="426"/>
        <w:rPr>
          <w:rFonts w:asciiTheme="minorHAnsi" w:hAnsiTheme="minorHAnsi" w:cstheme="minorHAnsi"/>
        </w:rPr>
      </w:pPr>
      <w:r w:rsidRPr="00204621">
        <w:rPr>
          <w:rFonts w:asciiTheme="minorHAnsi" w:hAnsiTheme="minorHAnsi" w:cstheme="minorHAnsi"/>
        </w:rPr>
        <w:t>b</w:t>
      </w:r>
      <w:r w:rsidR="002B15F0" w:rsidRPr="00204621">
        <w:rPr>
          <w:rFonts w:asciiTheme="minorHAnsi" w:hAnsiTheme="minorHAnsi" w:cstheme="minorHAnsi"/>
        </w:rPr>
        <w:t>.</w:t>
      </w:r>
      <w:r w:rsidR="002B15F0" w:rsidRPr="00204621">
        <w:rPr>
          <w:rFonts w:asciiTheme="minorHAnsi" w:hAnsiTheme="minorHAnsi" w:cstheme="minorHAnsi"/>
        </w:rPr>
        <w:tab/>
      </w:r>
      <w:r w:rsidRPr="00204621">
        <w:rPr>
          <w:rFonts w:asciiTheme="minorHAnsi" w:hAnsiTheme="minorHAnsi" w:cstheme="minorHAnsi"/>
        </w:rPr>
        <w:t>Leg uit hoe in fase 2 het overheidstekort kan afnemen. Betrek in het antwoord zowel de inkomsten als de uitgaven van de overhei</w:t>
      </w:r>
      <w:r w:rsidR="008505F0">
        <w:rPr>
          <w:rFonts w:asciiTheme="minorHAnsi" w:hAnsiTheme="minorHAnsi" w:cstheme="minorHAnsi"/>
        </w:rPr>
        <w:t>d.</w:t>
      </w:r>
    </w:p>
    <w:p w14:paraId="2486DADF" w14:textId="77777777" w:rsidR="00204621" w:rsidRPr="00204621" w:rsidRDefault="00204621" w:rsidP="002B15F0">
      <w:pPr>
        <w:ind w:left="426" w:hanging="426"/>
        <w:rPr>
          <w:rFonts w:asciiTheme="minorHAnsi" w:hAnsiTheme="minorHAnsi" w:cstheme="minorHAnsi"/>
        </w:rPr>
      </w:pPr>
    </w:p>
    <w:p w14:paraId="69F367C9" w14:textId="1565EF35" w:rsidR="00204621" w:rsidRPr="00204621" w:rsidRDefault="00204621" w:rsidP="00204621">
      <w:pPr>
        <w:tabs>
          <w:tab w:val="left" w:pos="0"/>
          <w:tab w:val="left" w:pos="426"/>
        </w:tabs>
        <w:overflowPunct w:val="0"/>
        <w:autoSpaceDE w:val="0"/>
        <w:autoSpaceDN w:val="0"/>
        <w:adjustRightInd w:val="0"/>
        <w:ind w:left="993" w:hanging="993"/>
        <w:textAlignment w:val="baseline"/>
        <w:rPr>
          <w:rFonts w:asciiTheme="minorHAnsi" w:hAnsiTheme="minorHAnsi" w:cstheme="minorHAnsi"/>
        </w:rPr>
      </w:pPr>
      <w:r w:rsidRPr="00204621">
        <w:rPr>
          <w:rFonts w:asciiTheme="minorHAnsi" w:hAnsiTheme="minorHAnsi" w:cstheme="minorHAnsi"/>
        </w:rPr>
        <w:t>Als de conjunctuur zich herstelt,</w:t>
      </w:r>
      <w:r w:rsidR="008505F0">
        <w:rPr>
          <w:rFonts w:asciiTheme="minorHAnsi" w:hAnsiTheme="minorHAnsi" w:cstheme="minorHAnsi"/>
        </w:rPr>
        <w:t xml:space="preserve"> neemt de kans op inflatie toe.</w:t>
      </w:r>
    </w:p>
    <w:p w14:paraId="58FA0B19" w14:textId="648751E9" w:rsidR="002B15F0" w:rsidRPr="00204621" w:rsidRDefault="00204621" w:rsidP="002B15F0">
      <w:pPr>
        <w:ind w:left="426" w:hanging="426"/>
        <w:rPr>
          <w:rFonts w:asciiTheme="minorHAnsi" w:hAnsiTheme="minorHAnsi" w:cstheme="minorHAnsi"/>
        </w:rPr>
      </w:pPr>
      <w:r w:rsidRPr="00204621">
        <w:rPr>
          <w:rFonts w:asciiTheme="minorHAnsi" w:hAnsiTheme="minorHAnsi" w:cstheme="minorHAnsi"/>
        </w:rPr>
        <w:t>c</w:t>
      </w:r>
      <w:r w:rsidR="002B15F0" w:rsidRPr="00204621">
        <w:rPr>
          <w:rFonts w:asciiTheme="minorHAnsi" w:hAnsiTheme="minorHAnsi" w:cstheme="minorHAnsi"/>
        </w:rPr>
        <w:t>.</w:t>
      </w:r>
      <w:r w:rsidR="002B15F0" w:rsidRPr="00204621">
        <w:rPr>
          <w:rFonts w:asciiTheme="minorHAnsi" w:hAnsiTheme="minorHAnsi" w:cstheme="minorHAnsi"/>
        </w:rPr>
        <w:tab/>
      </w:r>
      <w:r w:rsidRPr="00204621">
        <w:rPr>
          <w:rFonts w:asciiTheme="minorHAnsi" w:hAnsiTheme="minorHAnsi" w:cstheme="minorHAnsi"/>
        </w:rPr>
        <w:t>Door welke ontwikkeling in fase 2 wordt de kans op overbesteding afgeremd? Verklaar het antwoord.</w:t>
      </w:r>
    </w:p>
    <w:p w14:paraId="0B88B393" w14:textId="02968D77" w:rsidR="008505F0" w:rsidRDefault="008505F0">
      <w:pPr>
        <w:rPr>
          <w:rFonts w:asciiTheme="minorHAnsi" w:hAnsiTheme="minorHAnsi" w:cstheme="minorHAnsi"/>
        </w:rPr>
      </w:pPr>
      <w:r>
        <w:rPr>
          <w:rFonts w:asciiTheme="minorHAnsi" w:hAnsiTheme="minorHAnsi" w:cstheme="minorHAnsi"/>
        </w:rPr>
        <w:br w:type="page"/>
      </w:r>
    </w:p>
    <w:p w14:paraId="6086BEAA" w14:textId="77777777" w:rsidR="008014C2" w:rsidRPr="00026BE9" w:rsidRDefault="008014C2" w:rsidP="008014C2">
      <w:pPr>
        <w:rPr>
          <w:rFonts w:asciiTheme="minorHAnsi" w:hAnsiTheme="minorHAnsi" w:cstheme="minorHAnsi"/>
          <w:b/>
        </w:rPr>
      </w:pPr>
      <w:bookmarkStart w:id="0" w:name="_GoBack"/>
      <w:bookmarkEnd w:id="0"/>
      <w:r w:rsidRPr="00026BE9">
        <w:rPr>
          <w:rFonts w:asciiTheme="minorHAnsi" w:hAnsiTheme="minorHAnsi" w:cstheme="minorHAnsi"/>
          <w:b/>
        </w:rPr>
        <w:t>Uitwerking opdracht 3.1</w:t>
      </w:r>
    </w:p>
    <w:p w14:paraId="2C4D57FD" w14:textId="182423DE" w:rsidR="008014C2" w:rsidRPr="00026BE9" w:rsidRDefault="008014C2" w:rsidP="008014C2">
      <w:pPr>
        <w:tabs>
          <w:tab w:val="left" w:pos="-2694"/>
        </w:tabs>
        <w:ind w:left="426" w:hanging="426"/>
        <w:rPr>
          <w:rFonts w:asciiTheme="minorHAnsi" w:hAnsiTheme="minorHAnsi" w:cstheme="minorHAnsi"/>
        </w:rPr>
      </w:pPr>
      <w:r w:rsidRPr="00026BE9">
        <w:rPr>
          <w:rFonts w:asciiTheme="minorHAnsi" w:hAnsiTheme="minorHAnsi" w:cstheme="minorHAnsi"/>
        </w:rPr>
        <w:t>a.</w:t>
      </w:r>
      <w:r w:rsidRPr="00026BE9">
        <w:rPr>
          <w:rFonts w:asciiTheme="minorHAnsi" w:hAnsiTheme="minorHAnsi" w:cstheme="minorHAnsi"/>
        </w:rPr>
        <w:tab/>
      </w:r>
      <w:r w:rsidR="00204621" w:rsidRPr="00026BE9">
        <w:rPr>
          <w:rFonts w:asciiTheme="minorHAnsi" w:hAnsiTheme="minorHAnsi" w:cstheme="minorHAnsi"/>
        </w:rPr>
        <w:t>Een beperking van de loonkostenstijging (per product, bij doorberekening) kan leiden tot een verbetering van de internationale concurrentiepositie, waardoor de export groeit.</w:t>
      </w:r>
    </w:p>
    <w:p w14:paraId="2E354700" w14:textId="2DAD4904" w:rsidR="008014C2" w:rsidRPr="00026BE9" w:rsidRDefault="008014C2" w:rsidP="008014C2">
      <w:pPr>
        <w:tabs>
          <w:tab w:val="left" w:pos="-2694"/>
        </w:tabs>
        <w:ind w:left="426" w:hanging="426"/>
        <w:rPr>
          <w:rFonts w:asciiTheme="minorHAnsi" w:hAnsiTheme="minorHAnsi" w:cstheme="minorHAnsi"/>
        </w:rPr>
      </w:pPr>
      <w:r w:rsidRPr="00026BE9">
        <w:rPr>
          <w:rFonts w:asciiTheme="minorHAnsi" w:hAnsiTheme="minorHAnsi" w:cstheme="minorHAnsi"/>
        </w:rPr>
        <w:t>b.</w:t>
      </w:r>
      <w:r w:rsidRPr="00026BE9">
        <w:rPr>
          <w:rFonts w:asciiTheme="minorHAnsi" w:hAnsiTheme="minorHAnsi" w:cstheme="minorHAnsi"/>
        </w:rPr>
        <w:tab/>
        <w:t xml:space="preserve">De </w:t>
      </w:r>
      <w:r w:rsidR="00204621" w:rsidRPr="00026BE9">
        <w:rPr>
          <w:rFonts w:asciiTheme="minorHAnsi" w:hAnsiTheme="minorHAnsi" w:cstheme="minorHAnsi"/>
        </w:rPr>
        <w:t>belastingontvangsten kunnen toenemen doordat de inkomens toenemen.</w:t>
      </w:r>
    </w:p>
    <w:p w14:paraId="6BD6E9AE" w14:textId="221BD91F" w:rsidR="00204621" w:rsidRPr="00026BE9" w:rsidRDefault="00204621" w:rsidP="008014C2">
      <w:pPr>
        <w:tabs>
          <w:tab w:val="left" w:pos="-2694"/>
        </w:tabs>
        <w:ind w:left="426" w:hanging="426"/>
        <w:rPr>
          <w:rFonts w:asciiTheme="minorHAnsi" w:hAnsiTheme="minorHAnsi" w:cstheme="minorHAnsi"/>
        </w:rPr>
      </w:pPr>
      <w:r w:rsidRPr="00026BE9">
        <w:rPr>
          <w:rFonts w:asciiTheme="minorHAnsi" w:hAnsiTheme="minorHAnsi" w:cstheme="minorHAnsi"/>
        </w:rPr>
        <w:tab/>
        <w:t>De uitgaven van de overheid kunnen afnemen doordat de werkloosheid afneemt.</w:t>
      </w:r>
    </w:p>
    <w:p w14:paraId="4C4C90E0" w14:textId="77777777" w:rsidR="00026BE9" w:rsidRPr="00026BE9" w:rsidRDefault="008014C2" w:rsidP="00026BE9">
      <w:pPr>
        <w:tabs>
          <w:tab w:val="left" w:pos="-2694"/>
        </w:tabs>
        <w:ind w:left="426" w:hanging="426"/>
        <w:rPr>
          <w:rFonts w:asciiTheme="minorHAnsi" w:hAnsiTheme="minorHAnsi" w:cstheme="minorHAnsi"/>
        </w:rPr>
      </w:pPr>
      <w:r w:rsidRPr="00026BE9">
        <w:rPr>
          <w:rFonts w:asciiTheme="minorHAnsi" w:hAnsiTheme="minorHAnsi" w:cstheme="minorHAnsi"/>
        </w:rPr>
        <w:t>c.</w:t>
      </w:r>
      <w:r w:rsidRPr="00026BE9">
        <w:rPr>
          <w:rFonts w:asciiTheme="minorHAnsi" w:hAnsiTheme="minorHAnsi" w:cstheme="minorHAnsi"/>
        </w:rPr>
        <w:tab/>
      </w:r>
      <w:r w:rsidR="00026BE9" w:rsidRPr="00026BE9">
        <w:rPr>
          <w:rFonts w:asciiTheme="minorHAnsi" w:hAnsiTheme="minorHAnsi" w:cstheme="minorHAnsi"/>
        </w:rPr>
        <w:t xml:space="preserve">De toename van de investeringen. </w:t>
      </w:r>
    </w:p>
    <w:p w14:paraId="2F4AF3F8" w14:textId="6C850C77" w:rsidR="00026BE9" w:rsidRPr="00026BE9" w:rsidRDefault="00026BE9" w:rsidP="00026BE9">
      <w:pPr>
        <w:tabs>
          <w:tab w:val="left" w:pos="-2694"/>
        </w:tabs>
        <w:ind w:left="426" w:hanging="426"/>
        <w:rPr>
          <w:rFonts w:asciiTheme="minorHAnsi" w:hAnsiTheme="minorHAnsi" w:cstheme="minorHAnsi"/>
        </w:rPr>
      </w:pPr>
      <w:r w:rsidRPr="00026BE9">
        <w:rPr>
          <w:rFonts w:asciiTheme="minorHAnsi" w:hAnsiTheme="minorHAnsi" w:cstheme="minorHAnsi"/>
        </w:rPr>
        <w:tab/>
        <w:t xml:space="preserve">Investeringen leiden tot een toename van de productiecapaciteit waardoor toenemende bestedingen minder snel de productiecapaciteit overtreffen. </w:t>
      </w:r>
    </w:p>
    <w:sectPr w:rsidR="00026BE9" w:rsidRPr="00026BE9" w:rsidSect="003349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7145C" w14:textId="77777777" w:rsidR="000B4629" w:rsidRDefault="000B4629" w:rsidP="00DE78FB">
      <w:r>
        <w:separator/>
      </w:r>
    </w:p>
  </w:endnote>
  <w:endnote w:type="continuationSeparator" w:id="0">
    <w:p w14:paraId="43EE2114" w14:textId="77777777" w:rsidR="000B4629" w:rsidRDefault="000B4629"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QuadraatSansCon-Italic">
    <w:panose1 w:val="02010504040101090104"/>
    <w:charset w:val="00"/>
    <w:family w:val="auto"/>
    <w:pitch w:val="variable"/>
    <w:sig w:usb0="80000027" w:usb1="00000000" w:usb2="00000000" w:usb3="00000000" w:csb0="00000001" w:csb1="00000000"/>
  </w:font>
  <w:font w:name="QuadraatSansCon-Regular">
    <w:altName w:val="Centaur"/>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E446" w14:textId="77777777" w:rsidR="00DE60F8" w:rsidRDefault="00DE60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8452" w14:textId="77777777" w:rsidR="00DE60F8" w:rsidRDefault="00DE60F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3DC4" w14:textId="77777777" w:rsidR="00DE60F8" w:rsidRDefault="00DE60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7987B" w14:textId="77777777" w:rsidR="000B4629" w:rsidRDefault="000B4629" w:rsidP="00DE78FB">
      <w:r>
        <w:separator/>
      </w:r>
    </w:p>
  </w:footnote>
  <w:footnote w:type="continuationSeparator" w:id="0">
    <w:p w14:paraId="21BBE3D3" w14:textId="77777777" w:rsidR="000B4629" w:rsidRDefault="000B4629"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DEBA" w14:textId="77777777" w:rsidR="00DE60F8" w:rsidRDefault="00DE60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E318" w14:textId="77777777" w:rsidR="00DE78FB" w:rsidRPr="00236947" w:rsidRDefault="00236947" w:rsidP="00236947">
    <w:pPr>
      <w:pStyle w:val="Koptekst"/>
      <w:jc w:val="right"/>
      <w:rPr>
        <w:rFonts w:ascii="Arial" w:hAnsi="Arial" w:cs="Arial"/>
        <w:sz w:val="16"/>
        <w:szCs w:val="16"/>
      </w:rPr>
    </w:pPr>
    <w:r w:rsidRPr="00452A47">
      <w:rPr>
        <w:noProof/>
        <w:sz w:val="20"/>
        <w:szCs w:val="20"/>
      </w:rPr>
      <w:drawing>
        <wp:inline distT="0" distB="0" distL="0" distR="0" wp14:anchorId="4E1CB48B" wp14:editId="3E471F73">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Europa</w:t>
    </w:r>
    <w:r w:rsidRPr="00BE1329">
      <w:rPr>
        <w:rFonts w:ascii="Arial" w:hAnsi="Arial" w:cs="Arial"/>
        <w:sz w:val="16"/>
        <w:szCs w:val="16"/>
      </w:rPr>
      <w:t xml:space="preserve"> h</w:t>
    </w:r>
    <w:r w:rsidR="00882658">
      <w:rPr>
        <w:rFonts w:ascii="Arial" w:hAnsi="Arial" w:cs="Arial"/>
        <w:sz w:val="16"/>
        <w:szCs w:val="16"/>
      </w:rPr>
      <w:t>3</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452A47">
      <w:rPr>
        <w:rFonts w:ascii="Arial" w:hAnsi="Arial" w:cs="Arial"/>
        <w:sz w:val="16"/>
        <w:szCs w:val="16"/>
      </w:rPr>
      <w:fldChar w:fldCharType="begin"/>
    </w:r>
    <w:r w:rsidRPr="00452A47">
      <w:rPr>
        <w:rFonts w:ascii="Arial" w:hAnsi="Arial" w:cs="Arial"/>
        <w:sz w:val="16"/>
        <w:szCs w:val="16"/>
      </w:rPr>
      <w:instrText>PAGE   \* MERGEFORMAT</w:instrText>
    </w:r>
    <w:r w:rsidRPr="00452A47">
      <w:rPr>
        <w:rFonts w:ascii="Arial" w:hAnsi="Arial" w:cs="Arial"/>
        <w:sz w:val="16"/>
        <w:szCs w:val="16"/>
      </w:rPr>
      <w:fldChar w:fldCharType="separate"/>
    </w:r>
    <w:r w:rsidR="00DE60F8">
      <w:rPr>
        <w:rFonts w:ascii="Arial" w:hAnsi="Arial" w:cs="Arial"/>
        <w:noProof/>
        <w:sz w:val="16"/>
        <w:szCs w:val="16"/>
      </w:rPr>
      <w:t>2</w:t>
    </w:r>
    <w:r w:rsidRPr="00452A47">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9F02" w14:textId="77777777" w:rsidR="00DE60F8" w:rsidRDefault="00DE60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26BE9"/>
    <w:rsid w:val="00057A53"/>
    <w:rsid w:val="00082499"/>
    <w:rsid w:val="000B4629"/>
    <w:rsid w:val="00113206"/>
    <w:rsid w:val="00200CC2"/>
    <w:rsid w:val="00204621"/>
    <w:rsid w:val="00236947"/>
    <w:rsid w:val="002B15F0"/>
    <w:rsid w:val="0033492E"/>
    <w:rsid w:val="003E6879"/>
    <w:rsid w:val="00462E6E"/>
    <w:rsid w:val="00470328"/>
    <w:rsid w:val="004D3AA6"/>
    <w:rsid w:val="004E6A6D"/>
    <w:rsid w:val="005134C7"/>
    <w:rsid w:val="00651C1F"/>
    <w:rsid w:val="006536BE"/>
    <w:rsid w:val="006D68DB"/>
    <w:rsid w:val="00787F58"/>
    <w:rsid w:val="008014C2"/>
    <w:rsid w:val="008505F0"/>
    <w:rsid w:val="00882658"/>
    <w:rsid w:val="00892230"/>
    <w:rsid w:val="008B0BA5"/>
    <w:rsid w:val="00971EF6"/>
    <w:rsid w:val="00B72874"/>
    <w:rsid w:val="00BA3EE6"/>
    <w:rsid w:val="00C86E41"/>
    <w:rsid w:val="00C94E08"/>
    <w:rsid w:val="00CF2B2E"/>
    <w:rsid w:val="00D53993"/>
    <w:rsid w:val="00DE60F8"/>
    <w:rsid w:val="00DE78FB"/>
    <w:rsid w:val="00DF123B"/>
    <w:rsid w:val="00E21E42"/>
    <w:rsid w:val="00E34C37"/>
    <w:rsid w:val="00E82EA0"/>
    <w:rsid w:val="00F139A1"/>
    <w:rsid w:val="00FD4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15F0"/>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99"/>
    <w:qFormat/>
    <w:rsid w:val="00BA3EE6"/>
    <w:pPr>
      <w:ind w:left="720"/>
      <w:contextualSpacing/>
    </w:pPr>
  </w:style>
  <w:style w:type="table" w:styleId="Tabelraster">
    <w:name w:val="Table Grid"/>
    <w:basedOn w:val="Standaardtabel"/>
    <w:rsid w:val="00DE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1702</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2022-08-29T12:43:00Z</dcterms:created>
  <dcterms:modified xsi:type="dcterms:W3CDTF">2022-08-29T12:43:00Z</dcterms:modified>
</cp:coreProperties>
</file>