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12B" w:rsidRDefault="004E712B"/>
    <w:p w:rsidR="008C5E72" w:rsidRPr="00B6027F" w:rsidRDefault="00B6027F">
      <w:pPr>
        <w:rPr>
          <w:b/>
          <w:sz w:val="28"/>
          <w:szCs w:val="28"/>
        </w:rPr>
      </w:pPr>
      <w:r w:rsidRPr="00B6027F">
        <w:rPr>
          <w:b/>
          <w:sz w:val="28"/>
          <w:szCs w:val="28"/>
        </w:rPr>
        <w:t>Vermogen</w:t>
      </w:r>
    </w:p>
    <w:p w:rsidR="00B6027F" w:rsidRDefault="00B6027F"/>
    <w:p w:rsidR="008C5E72" w:rsidRPr="00B6027F" w:rsidRDefault="008C5E72" w:rsidP="008C5E72">
      <w:pPr>
        <w:rPr>
          <w:b/>
        </w:rPr>
      </w:pPr>
      <w:r w:rsidRPr="00B6027F">
        <w:rPr>
          <w:b/>
        </w:rPr>
        <w:t xml:space="preserve">Opgave </w:t>
      </w:r>
      <w:r w:rsidR="004D5620" w:rsidRPr="00B6027F">
        <w:rPr>
          <w:b/>
        </w:rPr>
        <w:t>5</w:t>
      </w:r>
      <w:r w:rsidRPr="00B6027F">
        <w:rPr>
          <w:b/>
        </w:rPr>
        <w:t>.1</w:t>
      </w:r>
    </w:p>
    <w:p w:rsidR="008C5E72" w:rsidRDefault="008C5E72" w:rsidP="008C5E72"/>
    <w:p w:rsidR="008C5E72" w:rsidRDefault="008C5E72" w:rsidP="008C5E72">
      <w:r>
        <w:t>Van land Beta zijn de volgende gegevens bekend: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08"/>
        <w:gridCol w:w="709"/>
        <w:gridCol w:w="709"/>
        <w:gridCol w:w="709"/>
        <w:gridCol w:w="708"/>
      </w:tblGrid>
      <w:tr w:rsidR="008C5E72" w:rsidRPr="003F049F" w:rsidTr="00C938AA">
        <w:tc>
          <w:tcPr>
            <w:tcW w:w="2127" w:type="dxa"/>
            <w:shd w:val="clear" w:color="auto" w:fill="auto"/>
          </w:tcPr>
          <w:p w:rsidR="008C5E72" w:rsidRPr="003F049F" w:rsidRDefault="008C5E72" w:rsidP="00C938AA">
            <w:pPr>
              <w:rPr>
                <w:b/>
              </w:rPr>
            </w:pPr>
          </w:p>
        </w:tc>
        <w:tc>
          <w:tcPr>
            <w:tcW w:w="708" w:type="dxa"/>
            <w:shd w:val="clear" w:color="auto" w:fill="auto"/>
          </w:tcPr>
          <w:p w:rsidR="008C5E72" w:rsidRPr="003F049F" w:rsidRDefault="008C5E72" w:rsidP="00FC5C47">
            <w:pPr>
              <w:jc w:val="center"/>
              <w:rPr>
                <w:b/>
              </w:rPr>
            </w:pPr>
            <w:r w:rsidRPr="003F049F">
              <w:rPr>
                <w:b/>
              </w:rPr>
              <w:t>20</w:t>
            </w:r>
            <w:r>
              <w:rPr>
                <w:b/>
              </w:rPr>
              <w:t>1</w:t>
            </w:r>
            <w:r w:rsidR="00FC5C47">
              <w:rPr>
                <w:b/>
              </w:rPr>
              <w:t>5</w:t>
            </w:r>
          </w:p>
        </w:tc>
        <w:tc>
          <w:tcPr>
            <w:tcW w:w="709" w:type="dxa"/>
            <w:shd w:val="clear" w:color="auto" w:fill="auto"/>
          </w:tcPr>
          <w:p w:rsidR="008C5E72" w:rsidRPr="003F049F" w:rsidRDefault="008C5E72" w:rsidP="00FC5C47">
            <w:pPr>
              <w:jc w:val="center"/>
              <w:rPr>
                <w:b/>
              </w:rPr>
            </w:pPr>
            <w:r w:rsidRPr="003F049F">
              <w:rPr>
                <w:b/>
              </w:rPr>
              <w:t>20</w:t>
            </w:r>
            <w:r>
              <w:rPr>
                <w:b/>
              </w:rPr>
              <w:t>1</w:t>
            </w:r>
            <w:r w:rsidR="00FC5C47">
              <w:rPr>
                <w:b/>
              </w:rPr>
              <w:t>6</w:t>
            </w:r>
          </w:p>
        </w:tc>
        <w:tc>
          <w:tcPr>
            <w:tcW w:w="709" w:type="dxa"/>
            <w:shd w:val="clear" w:color="auto" w:fill="auto"/>
          </w:tcPr>
          <w:p w:rsidR="008C5E72" w:rsidRPr="003F049F" w:rsidRDefault="008C5E72" w:rsidP="00FC5C47">
            <w:pPr>
              <w:jc w:val="center"/>
              <w:rPr>
                <w:b/>
              </w:rPr>
            </w:pPr>
            <w:r w:rsidRPr="003F049F">
              <w:rPr>
                <w:b/>
              </w:rPr>
              <w:t>201</w:t>
            </w:r>
            <w:r w:rsidR="00FC5C47">
              <w:rPr>
                <w:b/>
              </w:rPr>
              <w:t>7</w:t>
            </w:r>
          </w:p>
        </w:tc>
        <w:tc>
          <w:tcPr>
            <w:tcW w:w="709" w:type="dxa"/>
            <w:shd w:val="clear" w:color="auto" w:fill="auto"/>
          </w:tcPr>
          <w:p w:rsidR="008C5E72" w:rsidRPr="003F049F" w:rsidRDefault="008C5E72" w:rsidP="00FC5C47">
            <w:pPr>
              <w:jc w:val="center"/>
              <w:rPr>
                <w:b/>
              </w:rPr>
            </w:pPr>
            <w:r w:rsidRPr="003F049F">
              <w:rPr>
                <w:b/>
              </w:rPr>
              <w:t>201</w:t>
            </w:r>
            <w:r w:rsidR="00FC5C47">
              <w:rPr>
                <w:b/>
              </w:rPr>
              <w:t>8</w:t>
            </w:r>
          </w:p>
        </w:tc>
        <w:tc>
          <w:tcPr>
            <w:tcW w:w="708" w:type="dxa"/>
            <w:shd w:val="clear" w:color="auto" w:fill="auto"/>
          </w:tcPr>
          <w:p w:rsidR="008C5E72" w:rsidRPr="003F049F" w:rsidRDefault="008C5E72" w:rsidP="00FC5C47">
            <w:pPr>
              <w:jc w:val="center"/>
              <w:rPr>
                <w:b/>
              </w:rPr>
            </w:pPr>
            <w:r w:rsidRPr="003F049F">
              <w:rPr>
                <w:b/>
              </w:rPr>
              <w:t>201</w:t>
            </w:r>
            <w:r w:rsidR="00FC5C47">
              <w:rPr>
                <w:b/>
              </w:rPr>
              <w:t>9</w:t>
            </w:r>
          </w:p>
        </w:tc>
      </w:tr>
      <w:tr w:rsidR="008C5E72" w:rsidRPr="003F049F" w:rsidTr="00C938AA">
        <w:tc>
          <w:tcPr>
            <w:tcW w:w="2127" w:type="dxa"/>
            <w:shd w:val="clear" w:color="auto" w:fill="auto"/>
          </w:tcPr>
          <w:p w:rsidR="008C5E72" w:rsidRPr="003F049F" w:rsidRDefault="008C5E72" w:rsidP="00C938AA">
            <w:r w:rsidRPr="003F049F">
              <w:t>Nominale rente*</w:t>
            </w:r>
          </w:p>
        </w:tc>
        <w:tc>
          <w:tcPr>
            <w:tcW w:w="708" w:type="dxa"/>
            <w:shd w:val="clear" w:color="auto" w:fill="auto"/>
          </w:tcPr>
          <w:p w:rsidR="008C5E72" w:rsidRPr="003F049F" w:rsidRDefault="008C5E72" w:rsidP="00C938AA">
            <w:pPr>
              <w:jc w:val="center"/>
            </w:pPr>
            <w:r w:rsidRPr="003F049F">
              <w:t>5,2%</w:t>
            </w:r>
          </w:p>
        </w:tc>
        <w:tc>
          <w:tcPr>
            <w:tcW w:w="709" w:type="dxa"/>
            <w:shd w:val="clear" w:color="auto" w:fill="auto"/>
          </w:tcPr>
          <w:p w:rsidR="008C5E72" w:rsidRPr="003F049F" w:rsidRDefault="008C5E72" w:rsidP="00C938AA">
            <w:pPr>
              <w:jc w:val="center"/>
            </w:pPr>
            <w:r w:rsidRPr="003F049F">
              <w:t>4,9%</w:t>
            </w:r>
          </w:p>
        </w:tc>
        <w:tc>
          <w:tcPr>
            <w:tcW w:w="709" w:type="dxa"/>
            <w:shd w:val="clear" w:color="auto" w:fill="auto"/>
          </w:tcPr>
          <w:p w:rsidR="008C5E72" w:rsidRPr="003F049F" w:rsidRDefault="008C5E72" w:rsidP="00C938AA">
            <w:pPr>
              <w:jc w:val="center"/>
            </w:pPr>
            <w:r w:rsidRPr="003F049F">
              <w:t>4,8%</w:t>
            </w:r>
          </w:p>
        </w:tc>
        <w:tc>
          <w:tcPr>
            <w:tcW w:w="709" w:type="dxa"/>
            <w:shd w:val="clear" w:color="auto" w:fill="auto"/>
          </w:tcPr>
          <w:p w:rsidR="008C5E72" w:rsidRPr="003F049F" w:rsidRDefault="008C5E72" w:rsidP="00C938AA">
            <w:pPr>
              <w:jc w:val="center"/>
            </w:pPr>
            <w:r w:rsidRPr="003F049F">
              <w:t>5,3%</w:t>
            </w:r>
          </w:p>
        </w:tc>
        <w:tc>
          <w:tcPr>
            <w:tcW w:w="708" w:type="dxa"/>
            <w:shd w:val="clear" w:color="auto" w:fill="auto"/>
          </w:tcPr>
          <w:p w:rsidR="008C5E72" w:rsidRPr="003F049F" w:rsidRDefault="008C5E72" w:rsidP="00C938AA">
            <w:pPr>
              <w:jc w:val="center"/>
            </w:pPr>
            <w:r w:rsidRPr="003F049F">
              <w:t>5,1%</w:t>
            </w:r>
          </w:p>
        </w:tc>
      </w:tr>
      <w:tr w:rsidR="008C5E72" w:rsidRPr="003F049F" w:rsidTr="00C938AA">
        <w:tc>
          <w:tcPr>
            <w:tcW w:w="2127" w:type="dxa"/>
            <w:shd w:val="clear" w:color="auto" w:fill="auto"/>
          </w:tcPr>
          <w:p w:rsidR="008C5E72" w:rsidRPr="003F049F" w:rsidRDefault="008C5E72" w:rsidP="00C938AA">
            <w:r w:rsidRPr="003F049F">
              <w:t>Inflatiepercentage</w:t>
            </w:r>
          </w:p>
        </w:tc>
        <w:tc>
          <w:tcPr>
            <w:tcW w:w="708" w:type="dxa"/>
            <w:shd w:val="clear" w:color="auto" w:fill="auto"/>
          </w:tcPr>
          <w:p w:rsidR="008C5E72" w:rsidRPr="003F049F" w:rsidRDefault="008C5E72" w:rsidP="00C938AA">
            <w:pPr>
              <w:jc w:val="center"/>
            </w:pPr>
            <w:r w:rsidRPr="003F049F">
              <w:t>3,4%</w:t>
            </w:r>
          </w:p>
        </w:tc>
        <w:tc>
          <w:tcPr>
            <w:tcW w:w="709" w:type="dxa"/>
            <w:shd w:val="clear" w:color="auto" w:fill="auto"/>
          </w:tcPr>
          <w:p w:rsidR="008C5E72" w:rsidRPr="003F049F" w:rsidRDefault="008C5E72" w:rsidP="00C938AA">
            <w:pPr>
              <w:jc w:val="center"/>
            </w:pPr>
            <w:r w:rsidRPr="003F049F">
              <w:t>3,2%</w:t>
            </w:r>
          </w:p>
        </w:tc>
        <w:tc>
          <w:tcPr>
            <w:tcW w:w="709" w:type="dxa"/>
            <w:shd w:val="clear" w:color="auto" w:fill="auto"/>
          </w:tcPr>
          <w:p w:rsidR="008C5E72" w:rsidRPr="003F049F" w:rsidRDefault="008C5E72" w:rsidP="00C938AA">
            <w:pPr>
              <w:jc w:val="center"/>
            </w:pPr>
            <w:r w:rsidRPr="003F049F">
              <w:t>2,4%</w:t>
            </w:r>
          </w:p>
        </w:tc>
        <w:tc>
          <w:tcPr>
            <w:tcW w:w="709" w:type="dxa"/>
            <w:shd w:val="clear" w:color="auto" w:fill="auto"/>
          </w:tcPr>
          <w:p w:rsidR="008C5E72" w:rsidRPr="003F049F" w:rsidRDefault="008C5E72" w:rsidP="00C938AA">
            <w:pPr>
              <w:jc w:val="center"/>
            </w:pPr>
            <w:r w:rsidRPr="003F049F">
              <w:t>1,4%</w:t>
            </w:r>
          </w:p>
        </w:tc>
        <w:tc>
          <w:tcPr>
            <w:tcW w:w="708" w:type="dxa"/>
            <w:shd w:val="clear" w:color="auto" w:fill="auto"/>
          </w:tcPr>
          <w:p w:rsidR="008C5E72" w:rsidRPr="003F049F" w:rsidRDefault="008C5E72" w:rsidP="00C938AA">
            <w:pPr>
              <w:jc w:val="center"/>
            </w:pPr>
            <w:r w:rsidRPr="003F049F">
              <w:t>2,4%</w:t>
            </w:r>
          </w:p>
        </w:tc>
      </w:tr>
    </w:tbl>
    <w:p w:rsidR="008C5E72" w:rsidRDefault="008C5E72" w:rsidP="008C5E72">
      <w:r>
        <w:t>* Variabele nominale rente op een hypotheeklening</w:t>
      </w:r>
    </w:p>
    <w:p w:rsidR="008C5E72" w:rsidRDefault="008C5E72" w:rsidP="008C5E72"/>
    <w:p w:rsidR="008C5E72" w:rsidRDefault="008C5E72" w:rsidP="008C5E72">
      <w:pPr>
        <w:ind w:left="426" w:hanging="426"/>
      </w:pPr>
      <w:r>
        <w:t>a.</w:t>
      </w:r>
      <w:r>
        <w:tab/>
        <w:t>Bereken de reële rente in 201</w:t>
      </w:r>
      <w:r w:rsidR="00FC5C47">
        <w:t>8</w:t>
      </w:r>
      <w:r>
        <w:t>.</w:t>
      </w:r>
    </w:p>
    <w:p w:rsidR="008C5E72" w:rsidRDefault="008C5E72" w:rsidP="008C5E72">
      <w:pPr>
        <w:ind w:left="426" w:hanging="426"/>
      </w:pPr>
      <w:r>
        <w:t>b.</w:t>
      </w:r>
      <w:r>
        <w:tab/>
        <w:t xml:space="preserve">In welke jaar was de reële rente het laagst? </w:t>
      </w:r>
    </w:p>
    <w:p w:rsidR="008C5E72" w:rsidRDefault="008C5E72" w:rsidP="008C5E72"/>
    <w:p w:rsidR="008C5E72" w:rsidRDefault="008C5E72" w:rsidP="008C5E72">
      <w:r>
        <w:t>Bron 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134"/>
        <w:gridCol w:w="1134"/>
        <w:gridCol w:w="1275"/>
        <w:gridCol w:w="1276"/>
      </w:tblGrid>
      <w:tr w:rsidR="008C5E72" w:rsidRPr="003F049F" w:rsidTr="00C938AA">
        <w:tc>
          <w:tcPr>
            <w:tcW w:w="2235" w:type="dxa"/>
            <w:shd w:val="clear" w:color="auto" w:fill="auto"/>
          </w:tcPr>
          <w:p w:rsidR="008C5E72" w:rsidRPr="003F049F" w:rsidRDefault="008C5E72" w:rsidP="00C938AA"/>
        </w:tc>
        <w:tc>
          <w:tcPr>
            <w:tcW w:w="1134" w:type="dxa"/>
            <w:shd w:val="clear" w:color="auto" w:fill="auto"/>
          </w:tcPr>
          <w:p w:rsidR="008C5E72" w:rsidRPr="003F049F" w:rsidRDefault="008C5E72" w:rsidP="00C938AA">
            <w:r w:rsidRPr="003F049F">
              <w:t>1 jaar vast</w:t>
            </w:r>
          </w:p>
        </w:tc>
        <w:tc>
          <w:tcPr>
            <w:tcW w:w="1134" w:type="dxa"/>
            <w:shd w:val="clear" w:color="auto" w:fill="auto"/>
          </w:tcPr>
          <w:p w:rsidR="008C5E72" w:rsidRPr="003F049F" w:rsidRDefault="008C5E72" w:rsidP="00C938AA">
            <w:r w:rsidRPr="003F049F">
              <w:t>5 jaar vast</w:t>
            </w:r>
          </w:p>
        </w:tc>
        <w:tc>
          <w:tcPr>
            <w:tcW w:w="1275" w:type="dxa"/>
            <w:shd w:val="clear" w:color="auto" w:fill="auto"/>
          </w:tcPr>
          <w:p w:rsidR="008C5E72" w:rsidRPr="003F049F" w:rsidRDefault="008C5E72" w:rsidP="00C938AA">
            <w:r w:rsidRPr="003F049F">
              <w:t>10 jaar vast</w:t>
            </w:r>
          </w:p>
        </w:tc>
        <w:tc>
          <w:tcPr>
            <w:tcW w:w="1276" w:type="dxa"/>
            <w:shd w:val="clear" w:color="auto" w:fill="auto"/>
          </w:tcPr>
          <w:p w:rsidR="008C5E72" w:rsidRPr="003F049F" w:rsidRDefault="008C5E72" w:rsidP="00C938AA">
            <w:r w:rsidRPr="003F049F">
              <w:t>30 jaar vast</w:t>
            </w:r>
          </w:p>
        </w:tc>
      </w:tr>
      <w:tr w:rsidR="008C5E72" w:rsidRPr="003F049F" w:rsidTr="00C938AA">
        <w:tc>
          <w:tcPr>
            <w:tcW w:w="2235" w:type="dxa"/>
            <w:shd w:val="clear" w:color="auto" w:fill="auto"/>
          </w:tcPr>
          <w:p w:rsidR="008C5E72" w:rsidRPr="003F049F" w:rsidRDefault="008C5E72" w:rsidP="00C938AA">
            <w:r w:rsidRPr="003F049F">
              <w:t>Annuïteitenhypotheek</w:t>
            </w:r>
          </w:p>
        </w:tc>
        <w:tc>
          <w:tcPr>
            <w:tcW w:w="1134" w:type="dxa"/>
            <w:shd w:val="clear" w:color="auto" w:fill="auto"/>
          </w:tcPr>
          <w:p w:rsidR="008C5E72" w:rsidRPr="003F049F" w:rsidRDefault="008C5E72" w:rsidP="00C938AA">
            <w:r w:rsidRPr="003F049F">
              <w:t>3,30%</w:t>
            </w:r>
          </w:p>
        </w:tc>
        <w:tc>
          <w:tcPr>
            <w:tcW w:w="1134" w:type="dxa"/>
            <w:shd w:val="clear" w:color="auto" w:fill="auto"/>
          </w:tcPr>
          <w:p w:rsidR="008C5E72" w:rsidRPr="003F049F" w:rsidRDefault="008C5E72" w:rsidP="00C938AA">
            <w:r w:rsidRPr="003F049F">
              <w:t>3,50%</w:t>
            </w:r>
          </w:p>
        </w:tc>
        <w:tc>
          <w:tcPr>
            <w:tcW w:w="1275" w:type="dxa"/>
            <w:shd w:val="clear" w:color="auto" w:fill="auto"/>
          </w:tcPr>
          <w:p w:rsidR="008C5E72" w:rsidRPr="003F049F" w:rsidRDefault="008C5E72" w:rsidP="00C938AA">
            <w:r w:rsidRPr="003F049F">
              <w:t>3,70%</w:t>
            </w:r>
          </w:p>
        </w:tc>
        <w:tc>
          <w:tcPr>
            <w:tcW w:w="1276" w:type="dxa"/>
            <w:shd w:val="clear" w:color="auto" w:fill="auto"/>
          </w:tcPr>
          <w:p w:rsidR="008C5E72" w:rsidRPr="003F049F" w:rsidRDefault="008C5E72" w:rsidP="00C938AA">
            <w:r w:rsidRPr="003F049F">
              <w:t>4,40%</w:t>
            </w:r>
          </w:p>
        </w:tc>
      </w:tr>
    </w:tbl>
    <w:p w:rsidR="008C5E72" w:rsidRDefault="008C5E72" w:rsidP="008C5E72"/>
    <w:p w:rsidR="008C5E72" w:rsidRDefault="008C5E72" w:rsidP="008C5E72">
      <w:pPr>
        <w:ind w:left="426" w:hanging="426"/>
      </w:pPr>
      <w:r>
        <w:t>c.</w:t>
      </w:r>
      <w:r>
        <w:tab/>
        <w:t>Bekijk bron ING en geef een verklaring voor het oplopen van de tarieven naarmate de looptijd langer wordt?</w:t>
      </w:r>
    </w:p>
    <w:p w:rsidR="008C5E72" w:rsidRDefault="008C5E72" w:rsidP="008C5E72"/>
    <w:p w:rsidR="008C5E72" w:rsidRDefault="008C5E72" w:rsidP="008C5E72">
      <w:r>
        <w:t>Guus en Ria hebben in 2004 een huis gekocht en daarvoor een hypothecaire lening met een looptijd van 30 jaar afgesloten. Door het progressieve inkomstenbelastingstelsel in land Beta kan de netto rentelast van Guus en Ria, dat is de rentelast na aftrek van het belastingvoordeel, dalen als het inkomen stijgt. Ook inflatie levert Guus en Ria voordeel op aangezien het rentepercentage vast ligt en het inkomen aangepast wordt aan de inflatie. Het kan zelfs voorkomen dat de reële rente negatief is. De prijzen van woningen stijgen gelijk aan de gemiddelde prijsstijging.</w:t>
      </w:r>
    </w:p>
    <w:p w:rsidR="008C5E72" w:rsidRDefault="008C5E72" w:rsidP="008C5E72">
      <w:pPr>
        <w:ind w:left="426" w:hanging="426"/>
      </w:pPr>
      <w:r>
        <w:t>d.</w:t>
      </w:r>
      <w:r>
        <w:tab/>
        <w:t xml:space="preserve">Het aandeel van de bruto rentelasten (rentelasten voor aftrek van het belastingvoordeel) in het inkomen van Guus en Ria zal bij inflatie </w:t>
      </w:r>
      <w:r w:rsidRPr="005930E1">
        <w:rPr>
          <w:i/>
        </w:rPr>
        <w:t>toenemen, afnemen, gelijk blijven</w:t>
      </w:r>
      <w:r>
        <w:t xml:space="preserve">? </w:t>
      </w:r>
    </w:p>
    <w:p w:rsidR="008C5E72" w:rsidRDefault="008C5E72" w:rsidP="008C5E72">
      <w:pPr>
        <w:ind w:left="426" w:hanging="426"/>
      </w:pPr>
      <w:r>
        <w:tab/>
        <w:t>Citeer de zin waaruit dit blijkt?</w:t>
      </w:r>
    </w:p>
    <w:p w:rsidR="008C5E72" w:rsidRDefault="008C5E72" w:rsidP="008C5E72">
      <w:pPr>
        <w:ind w:left="426" w:hanging="426"/>
      </w:pPr>
      <w:r>
        <w:t>e.</w:t>
      </w:r>
      <w:r>
        <w:tab/>
        <w:t>Leg uit waarom de netto rentelasten voor Guus en Ria kunnen dalen als het inkomen stijgt.</w:t>
      </w:r>
    </w:p>
    <w:p w:rsidR="008C5E72" w:rsidRDefault="008C5E72" w:rsidP="008C5E72">
      <w:pPr>
        <w:ind w:left="426" w:hanging="426"/>
      </w:pPr>
      <w:r>
        <w:t>f.</w:t>
      </w:r>
      <w:r>
        <w:tab/>
        <w:t>In welk geval is er sprake van een negatieve reële rente?</w:t>
      </w:r>
    </w:p>
    <w:p w:rsidR="008C5E72" w:rsidRDefault="008C5E72" w:rsidP="008C5E72"/>
    <w:p w:rsidR="008C5E72" w:rsidRDefault="008C5E72" w:rsidP="008C5E72">
      <w:r>
        <w:t>Op 1 januari 201</w:t>
      </w:r>
      <w:r w:rsidR="00FC5C47">
        <w:t>7</w:t>
      </w:r>
      <w:r>
        <w:t xml:space="preserve"> bedroeg de waarde van het huis van Guus en Ria € 300.000.</w:t>
      </w:r>
    </w:p>
    <w:p w:rsidR="008C5E72" w:rsidRDefault="008C5E72" w:rsidP="008C5E72">
      <w:pPr>
        <w:tabs>
          <w:tab w:val="left" w:pos="426"/>
        </w:tabs>
        <w:ind w:left="426" w:hanging="426"/>
      </w:pPr>
      <w:r>
        <w:t>g.</w:t>
      </w:r>
      <w:r>
        <w:tab/>
        <w:t>Bereken de waarde van het huis van Guus en Ria op 1 januari 20</w:t>
      </w:r>
      <w:r w:rsidR="00FC5C47">
        <w:t>22</w:t>
      </w:r>
      <w:r>
        <w:t xml:space="preserve"> als de inflatie gemiddeld 2,2% per jaar bedraagt.</w:t>
      </w:r>
    </w:p>
    <w:p w:rsidR="008C5E72" w:rsidRDefault="008C5E72" w:rsidP="008C5E72">
      <w:pPr>
        <w:ind w:left="426" w:hanging="426"/>
      </w:pPr>
      <w:r>
        <w:t>h.</w:t>
      </w:r>
      <w:r>
        <w:tab/>
        <w:t>Leg uit dat de inflatie de huiseigenaar met een hypotheeklening een vermogensgroei oplevert.</w:t>
      </w:r>
    </w:p>
    <w:p w:rsidR="008C5E72" w:rsidRDefault="008C5E72" w:rsidP="008C5E72"/>
    <w:p w:rsidR="008C5E72" w:rsidRDefault="008C5E72"/>
    <w:p w:rsidR="004D5620" w:rsidRDefault="004D5620" w:rsidP="004D5620">
      <w:pPr>
        <w:ind w:left="426" w:hanging="426"/>
        <w:rPr>
          <w:rFonts w:asciiTheme="minorHAnsi" w:eastAsia="Times New Roman" w:hAnsiTheme="minorHAnsi" w:cstheme="minorHAnsi"/>
          <w:b/>
          <w:lang w:eastAsia="nl-NL"/>
        </w:rPr>
      </w:pPr>
      <w:r>
        <w:rPr>
          <w:rFonts w:asciiTheme="minorHAnsi" w:eastAsia="Times New Roman" w:hAnsiTheme="minorHAnsi" w:cstheme="minorHAnsi"/>
          <w:b/>
          <w:lang w:eastAsia="nl-NL"/>
        </w:rPr>
        <w:t xml:space="preserve">Opdracht </w:t>
      </w:r>
      <w:r w:rsidR="00FC5C47">
        <w:rPr>
          <w:rFonts w:asciiTheme="minorHAnsi" w:eastAsia="Times New Roman" w:hAnsiTheme="minorHAnsi" w:cstheme="minorHAnsi"/>
          <w:b/>
          <w:lang w:eastAsia="nl-NL"/>
        </w:rPr>
        <w:t>5</w:t>
      </w:r>
      <w:r>
        <w:rPr>
          <w:rFonts w:asciiTheme="minorHAnsi" w:eastAsia="Times New Roman" w:hAnsiTheme="minorHAnsi" w:cstheme="minorHAnsi"/>
          <w:b/>
          <w:lang w:eastAsia="nl-NL"/>
        </w:rPr>
        <w:t>.2</w:t>
      </w:r>
    </w:p>
    <w:p w:rsidR="004D5620" w:rsidRDefault="004D5620" w:rsidP="004D5620">
      <w:pPr>
        <w:rPr>
          <w:rFonts w:asciiTheme="minorHAnsi" w:eastAsia="Times New Roman" w:hAnsiTheme="minorHAnsi" w:cstheme="minorHAnsi"/>
          <w:lang w:eastAsia="nl-NL"/>
        </w:rPr>
      </w:pPr>
      <w:r>
        <w:rPr>
          <w:rFonts w:asciiTheme="minorHAnsi" w:eastAsia="Times New Roman" w:hAnsiTheme="minorHAnsi" w:cstheme="minorHAnsi"/>
          <w:lang w:eastAsia="nl-NL"/>
        </w:rPr>
        <w:t xml:space="preserve">Imke en Eva zitten in 5 vwo en maken plannen voor wat zij na het behalen van hun vwo-diploma gaan doen. Imke wil graag een half jaar op reis. Om hiervoor te sparen gaat ze in haar tussenjaar eerst werken. Eva wil meteen gaan studeren aan de universiteit: het liefst gaat ze op kamers wonen in haar studiestad. Om haar studie te kunnen bekostigen zal zij, naast een bijdrage van haar ouders en inkomen uit een bijbaan, gebruik maken van het sociale leenstelsel. </w:t>
      </w:r>
    </w:p>
    <w:p w:rsidR="004D5620" w:rsidRDefault="004D5620" w:rsidP="004D5620">
      <w:pPr>
        <w:rPr>
          <w:rFonts w:asciiTheme="minorHAnsi" w:eastAsia="Times New Roman" w:hAnsiTheme="minorHAnsi" w:cstheme="minorHAnsi"/>
          <w:b/>
          <w:lang w:eastAsia="nl-NL"/>
        </w:rPr>
      </w:pPr>
    </w:p>
    <w:p w:rsidR="004D5620" w:rsidRPr="00EF2456" w:rsidRDefault="004D5620" w:rsidP="004D5620">
      <w:pPr>
        <w:ind w:left="426" w:hanging="426"/>
        <w:rPr>
          <w:rFonts w:asciiTheme="minorHAnsi" w:eastAsia="Times New Roman" w:hAnsiTheme="minorHAnsi" w:cstheme="minorHAnsi"/>
          <w:lang w:eastAsia="nl-NL"/>
        </w:rPr>
      </w:pPr>
      <w:r w:rsidRPr="00EF2456">
        <w:rPr>
          <w:rFonts w:asciiTheme="minorHAnsi" w:eastAsia="Times New Roman" w:hAnsiTheme="minorHAnsi" w:cstheme="minorHAnsi"/>
          <w:lang w:eastAsia="nl-NL"/>
        </w:rPr>
        <w:t xml:space="preserve">Leg uit </w:t>
      </w:r>
      <w:r>
        <w:rPr>
          <w:rFonts w:asciiTheme="minorHAnsi" w:eastAsia="Times New Roman" w:hAnsiTheme="minorHAnsi" w:cstheme="minorHAnsi"/>
          <w:lang w:eastAsia="nl-NL"/>
        </w:rPr>
        <w:t>dat er bij zowel Imke als Eva sprake is van</w:t>
      </w:r>
      <w:r w:rsidRPr="00EF2456">
        <w:rPr>
          <w:rFonts w:asciiTheme="minorHAnsi" w:eastAsia="Times New Roman" w:hAnsiTheme="minorHAnsi" w:cstheme="minorHAnsi"/>
          <w:lang w:eastAsia="nl-NL"/>
        </w:rPr>
        <w:t xml:space="preserve"> ruil</w:t>
      </w:r>
      <w:r>
        <w:rPr>
          <w:rFonts w:asciiTheme="minorHAnsi" w:eastAsia="Times New Roman" w:hAnsiTheme="minorHAnsi" w:cstheme="minorHAnsi"/>
          <w:lang w:eastAsia="nl-NL"/>
        </w:rPr>
        <w:t>en over de tijd</w:t>
      </w:r>
      <w:r w:rsidRPr="00EF2456">
        <w:rPr>
          <w:rFonts w:asciiTheme="minorHAnsi" w:eastAsia="Times New Roman" w:hAnsiTheme="minorHAnsi" w:cstheme="minorHAnsi"/>
          <w:lang w:eastAsia="nl-NL"/>
        </w:rPr>
        <w:t>.</w:t>
      </w:r>
    </w:p>
    <w:p w:rsidR="008C5E72" w:rsidRDefault="008C5E72"/>
    <w:p w:rsidR="00B6027F" w:rsidRDefault="00B6027F"/>
    <w:p w:rsidR="00B6027F" w:rsidRDefault="00B6027F">
      <w:bookmarkStart w:id="0" w:name="_GoBack"/>
      <w:bookmarkEnd w:id="0"/>
    </w:p>
    <w:p w:rsidR="008C5E72" w:rsidRDefault="008C5E72"/>
    <w:p w:rsidR="004D5620" w:rsidRDefault="004D5620" w:rsidP="004D5620">
      <w:pPr>
        <w:rPr>
          <w:rFonts w:eastAsia="Times New Roman" w:cs="Calibri"/>
          <w:b/>
          <w:lang w:eastAsia="nl-NL"/>
        </w:rPr>
      </w:pPr>
      <w:r>
        <w:rPr>
          <w:rFonts w:eastAsia="Times New Roman" w:cs="Calibri"/>
          <w:b/>
          <w:lang w:eastAsia="nl-NL"/>
        </w:rPr>
        <w:lastRenderedPageBreak/>
        <w:t xml:space="preserve">Opdracht </w:t>
      </w:r>
      <w:r w:rsidR="00FC5C47">
        <w:rPr>
          <w:rFonts w:eastAsia="Times New Roman" w:cs="Calibri"/>
          <w:b/>
          <w:lang w:eastAsia="nl-NL"/>
        </w:rPr>
        <w:t>5.3</w:t>
      </w:r>
      <w:r>
        <w:rPr>
          <w:rFonts w:eastAsia="Times New Roman" w:cs="Calibri"/>
          <w:b/>
          <w:lang w:eastAsia="nl-NL"/>
        </w:rPr>
        <w:t xml:space="preserve"> </w:t>
      </w:r>
    </w:p>
    <w:p w:rsidR="004D5620" w:rsidRDefault="004D5620" w:rsidP="004D5620">
      <w:pPr>
        <w:rPr>
          <w:rFonts w:eastAsia="Times New Roman" w:cs="Calibri"/>
          <w:lang w:eastAsia="nl-NL"/>
        </w:rPr>
      </w:pPr>
      <w:r>
        <w:rPr>
          <w:rFonts w:eastAsia="Times New Roman" w:cs="Calibri"/>
          <w:lang w:eastAsia="nl-NL"/>
        </w:rPr>
        <w:t>Alex heeft na jaren van sparen en een recent verkregen erfenis op 1 januari 20</w:t>
      </w:r>
      <w:r w:rsidR="00220EC5">
        <w:rPr>
          <w:rFonts w:eastAsia="Times New Roman" w:cs="Calibri"/>
          <w:lang w:eastAsia="nl-NL"/>
        </w:rPr>
        <w:t>20</w:t>
      </w:r>
      <w:r>
        <w:rPr>
          <w:rFonts w:eastAsia="Times New Roman" w:cs="Calibri"/>
          <w:lang w:eastAsia="nl-NL"/>
        </w:rPr>
        <w:t xml:space="preserve"> een vermogen van € 120.000. Dit bedrag bestaat voor € 30.000 uit spaargeld, waarover de bank een </w:t>
      </w:r>
      <w:r w:rsidR="00220EC5">
        <w:rPr>
          <w:rFonts w:eastAsia="Times New Roman" w:cs="Calibri"/>
          <w:lang w:eastAsia="nl-NL"/>
        </w:rPr>
        <w:t>0,01%</w:t>
      </w:r>
      <w:r>
        <w:rPr>
          <w:rFonts w:eastAsia="Times New Roman" w:cs="Calibri"/>
          <w:lang w:eastAsia="nl-NL"/>
        </w:rPr>
        <w:t xml:space="preserve"> rente vergoedt. Het restant van € 90.000 bestaat uit een belegging in aandelen. Het dividend (winst) hierover is 4%.</w:t>
      </w:r>
    </w:p>
    <w:p w:rsidR="004D5620" w:rsidRDefault="004D5620" w:rsidP="004D5620">
      <w:pPr>
        <w:rPr>
          <w:rFonts w:eastAsia="Times New Roman" w:cs="Calibri"/>
          <w:lang w:eastAsia="nl-NL"/>
        </w:rPr>
      </w:pPr>
    </w:p>
    <w:p w:rsidR="008C5E72" w:rsidRDefault="004D5620" w:rsidP="004D5620">
      <w:r>
        <w:rPr>
          <w:rFonts w:cstheme="majorHAnsi"/>
          <w:szCs w:val="20"/>
        </w:rPr>
        <w:t xml:space="preserve">De belasting over het inkomen uit sparen en beleggen is </w:t>
      </w:r>
      <w:r w:rsidRPr="00125269">
        <w:rPr>
          <w:rFonts w:cstheme="majorHAnsi"/>
          <w:szCs w:val="20"/>
        </w:rPr>
        <w:t xml:space="preserve">de vermogensrendementsheffing (VRH) die ook wel vermogensbelasting wordt genoemd. </w:t>
      </w:r>
      <w:r w:rsidRPr="00125269">
        <w:rPr>
          <w:szCs w:val="20"/>
        </w:rPr>
        <w:t xml:space="preserve">De belastingdienst kijkt bij </w:t>
      </w:r>
      <w:r>
        <w:rPr>
          <w:szCs w:val="20"/>
        </w:rPr>
        <w:t>deze</w:t>
      </w:r>
      <w:r w:rsidRPr="00125269">
        <w:rPr>
          <w:szCs w:val="20"/>
        </w:rPr>
        <w:t xml:space="preserve"> heffing echter niet naar wat iemand werkelijk heeft verdiend met </w:t>
      </w:r>
      <w:r>
        <w:rPr>
          <w:szCs w:val="20"/>
        </w:rPr>
        <w:t>sparen en beleggen</w:t>
      </w:r>
      <w:r w:rsidRPr="00125269">
        <w:rPr>
          <w:szCs w:val="20"/>
        </w:rPr>
        <w:t xml:space="preserve">, maar ze gaat uit van </w:t>
      </w:r>
      <w:r>
        <w:rPr>
          <w:szCs w:val="20"/>
        </w:rPr>
        <w:t>twee denkbeeldige</w:t>
      </w:r>
      <w:r w:rsidRPr="00125269">
        <w:rPr>
          <w:szCs w:val="20"/>
        </w:rPr>
        <w:t xml:space="preserve"> of fictie</w:t>
      </w:r>
      <w:r>
        <w:rPr>
          <w:szCs w:val="20"/>
        </w:rPr>
        <w:t>ve</w:t>
      </w:r>
      <w:r w:rsidRPr="00125269">
        <w:rPr>
          <w:szCs w:val="20"/>
        </w:rPr>
        <w:t xml:space="preserve"> rendement</w:t>
      </w:r>
      <w:r>
        <w:rPr>
          <w:szCs w:val="20"/>
        </w:rPr>
        <w:t>en:</w:t>
      </w:r>
      <w:r w:rsidRPr="00125269">
        <w:rPr>
          <w:szCs w:val="20"/>
        </w:rPr>
        <w:t xml:space="preserve"> </w:t>
      </w:r>
      <w:r>
        <w:rPr>
          <w:szCs w:val="20"/>
        </w:rPr>
        <w:t>e</w:t>
      </w:r>
      <w:r w:rsidRPr="00125269">
        <w:rPr>
          <w:szCs w:val="20"/>
        </w:rPr>
        <w:t>en laag fictief rendement op sparen</w:t>
      </w:r>
      <w:r>
        <w:rPr>
          <w:szCs w:val="20"/>
        </w:rPr>
        <w:t xml:space="preserve"> bij een bank</w:t>
      </w:r>
      <w:r w:rsidRPr="00125269">
        <w:rPr>
          <w:szCs w:val="20"/>
        </w:rPr>
        <w:t xml:space="preserve"> en een</w:t>
      </w:r>
    </w:p>
    <w:p w:rsidR="004D5620" w:rsidRPr="004D5620" w:rsidRDefault="004D5620" w:rsidP="004D5620">
      <w:pPr>
        <w:rPr>
          <w:szCs w:val="20"/>
        </w:rPr>
      </w:pPr>
      <w:r w:rsidRPr="004D5620">
        <w:rPr>
          <w:szCs w:val="20"/>
        </w:rPr>
        <w:t>hoog fictief rendement op beleggingen in  aandelen, obligaties en dergelijke. Onderstaande tabel  laat zien dat gebruikt wordt gemaakt van een schijvensysteem.</w:t>
      </w:r>
    </w:p>
    <w:tbl>
      <w:tblPr>
        <w:tblStyle w:val="Tabelraster"/>
        <w:tblpPr w:leftFromText="141" w:rightFromText="141" w:vertAnchor="text" w:horzAnchor="margin" w:tblpY="361"/>
        <w:tblW w:w="0" w:type="auto"/>
        <w:tblLook w:val="04A0" w:firstRow="1" w:lastRow="0" w:firstColumn="1" w:lastColumn="0" w:noHBand="0" w:noVBand="1"/>
      </w:tblPr>
      <w:tblGrid>
        <w:gridCol w:w="665"/>
        <w:gridCol w:w="1875"/>
        <w:gridCol w:w="1361"/>
        <w:gridCol w:w="1800"/>
        <w:gridCol w:w="2190"/>
        <w:gridCol w:w="1397"/>
      </w:tblGrid>
      <w:tr w:rsidR="004D5620" w:rsidRPr="004D5620" w:rsidTr="00B6027F">
        <w:trPr>
          <w:trHeight w:val="420"/>
        </w:trPr>
        <w:tc>
          <w:tcPr>
            <w:tcW w:w="0" w:type="auto"/>
          </w:tcPr>
          <w:p w:rsidR="004D5620" w:rsidRPr="004D5620" w:rsidRDefault="004D5620" w:rsidP="004D5620">
            <w:pPr>
              <w:keepNext/>
              <w:suppressAutoHyphens/>
              <w:spacing w:before="60"/>
              <w:jc w:val="both"/>
              <w:outlineLvl w:val="2"/>
              <w:rPr>
                <w:rFonts w:ascii="QuadraatSans-Regular" w:eastAsia="MS Mincho" w:hAnsi="QuadraatSans-Regular"/>
              </w:rPr>
            </w:pPr>
            <w:r w:rsidRPr="004D5620">
              <w:rPr>
                <w:rFonts w:ascii="QuadraatSans-Regular" w:eastAsia="MS Mincho" w:hAnsi="QuadraatSans-Regular"/>
              </w:rPr>
              <w:t>1</w:t>
            </w:r>
          </w:p>
        </w:tc>
        <w:tc>
          <w:tcPr>
            <w:tcW w:w="0" w:type="auto"/>
          </w:tcPr>
          <w:p w:rsidR="004D5620" w:rsidRPr="004D5620" w:rsidRDefault="004D5620" w:rsidP="004D5620">
            <w:pPr>
              <w:keepNext/>
              <w:suppressAutoHyphens/>
              <w:spacing w:before="60"/>
              <w:jc w:val="both"/>
              <w:outlineLvl w:val="2"/>
              <w:rPr>
                <w:rFonts w:ascii="QuadraatSans-Regular" w:eastAsia="MS Mincho" w:hAnsi="QuadraatSans-Regular"/>
              </w:rPr>
            </w:pPr>
            <w:r w:rsidRPr="004D5620">
              <w:rPr>
                <w:rFonts w:ascii="QuadraatSans-Regular" w:eastAsia="MS Mincho" w:hAnsi="QuadraatSans-Regular"/>
              </w:rPr>
              <w:t>2</w:t>
            </w:r>
          </w:p>
        </w:tc>
        <w:tc>
          <w:tcPr>
            <w:tcW w:w="0" w:type="auto"/>
          </w:tcPr>
          <w:p w:rsidR="004D5620" w:rsidRPr="004D5620" w:rsidRDefault="004D5620" w:rsidP="004D5620">
            <w:pPr>
              <w:keepNext/>
              <w:suppressAutoHyphens/>
              <w:spacing w:before="60"/>
              <w:jc w:val="both"/>
              <w:outlineLvl w:val="2"/>
              <w:rPr>
                <w:rFonts w:ascii="QuadraatSans-Regular" w:eastAsia="MS Mincho" w:hAnsi="QuadraatSans-Regular"/>
                <w:i/>
              </w:rPr>
            </w:pPr>
            <w:r w:rsidRPr="004D5620">
              <w:rPr>
                <w:rFonts w:ascii="QuadraatSans-Regular" w:eastAsia="MS Mincho" w:hAnsi="QuadraatSans-Regular"/>
                <w:i/>
              </w:rPr>
              <w:t>3</w:t>
            </w:r>
          </w:p>
        </w:tc>
        <w:tc>
          <w:tcPr>
            <w:tcW w:w="0" w:type="auto"/>
          </w:tcPr>
          <w:p w:rsidR="004D5620" w:rsidRPr="004D5620" w:rsidRDefault="004D5620" w:rsidP="004D5620">
            <w:pPr>
              <w:keepNext/>
              <w:suppressAutoHyphens/>
              <w:spacing w:before="60"/>
              <w:jc w:val="both"/>
              <w:outlineLvl w:val="2"/>
              <w:rPr>
                <w:rFonts w:ascii="QuadraatSans-Regular" w:eastAsia="MS Mincho" w:hAnsi="QuadraatSans-Regular"/>
                <w:i/>
              </w:rPr>
            </w:pPr>
            <w:r w:rsidRPr="004D5620">
              <w:rPr>
                <w:rFonts w:ascii="QuadraatSans-Regular" w:eastAsia="MS Mincho" w:hAnsi="QuadraatSans-Regular"/>
                <w:i/>
              </w:rPr>
              <w:t>4</w:t>
            </w:r>
          </w:p>
        </w:tc>
        <w:tc>
          <w:tcPr>
            <w:tcW w:w="0" w:type="auto"/>
          </w:tcPr>
          <w:p w:rsidR="004D5620" w:rsidRPr="004D5620" w:rsidRDefault="004D5620" w:rsidP="004D5620">
            <w:pPr>
              <w:keepNext/>
              <w:suppressAutoHyphens/>
              <w:spacing w:before="60"/>
              <w:jc w:val="both"/>
              <w:outlineLvl w:val="2"/>
              <w:rPr>
                <w:rFonts w:ascii="QuadraatSans-Regular" w:eastAsia="MS Mincho" w:hAnsi="QuadraatSans-Regular"/>
              </w:rPr>
            </w:pPr>
            <w:r w:rsidRPr="004D5620">
              <w:rPr>
                <w:rFonts w:ascii="QuadraatSans-Regular" w:eastAsia="MS Mincho" w:hAnsi="QuadraatSans-Regular"/>
              </w:rPr>
              <w:t>5</w:t>
            </w:r>
          </w:p>
        </w:tc>
        <w:tc>
          <w:tcPr>
            <w:tcW w:w="0" w:type="auto"/>
          </w:tcPr>
          <w:p w:rsidR="004D5620" w:rsidRPr="004D5620" w:rsidRDefault="004D5620" w:rsidP="004D5620">
            <w:pPr>
              <w:keepNext/>
              <w:suppressAutoHyphens/>
              <w:spacing w:before="60"/>
              <w:jc w:val="both"/>
              <w:outlineLvl w:val="2"/>
              <w:rPr>
                <w:rFonts w:ascii="QuadraatSans-Regular" w:eastAsia="MS Mincho" w:hAnsi="QuadraatSans-Regular"/>
              </w:rPr>
            </w:pPr>
            <w:r w:rsidRPr="004D5620">
              <w:rPr>
                <w:rFonts w:ascii="QuadraatSans-Regular" w:eastAsia="MS Mincho" w:hAnsi="QuadraatSans-Regular"/>
              </w:rPr>
              <w:t>6</w:t>
            </w:r>
          </w:p>
        </w:tc>
      </w:tr>
      <w:tr w:rsidR="004D5620" w:rsidRPr="004D5620" w:rsidTr="00B6027F">
        <w:tc>
          <w:tcPr>
            <w:tcW w:w="0" w:type="auto"/>
            <w:vAlign w:val="center"/>
          </w:tcPr>
          <w:p w:rsidR="004D5620" w:rsidRPr="004D5620" w:rsidRDefault="004D5620" w:rsidP="00B6027F">
            <w:pPr>
              <w:keepNext/>
              <w:suppressAutoHyphens/>
              <w:spacing w:before="60"/>
              <w:outlineLvl w:val="2"/>
              <w:rPr>
                <w:rFonts w:ascii="QuadraatSans-Regular" w:eastAsia="MS Mincho" w:hAnsi="QuadraatSans-Regular"/>
              </w:rPr>
            </w:pPr>
            <w:r w:rsidRPr="004D5620">
              <w:rPr>
                <w:rFonts w:ascii="QuadraatSans-Regular" w:eastAsia="MS Mincho" w:hAnsi="QuadraatSans-Regular"/>
              </w:rPr>
              <w:t>Schijf</w:t>
            </w:r>
          </w:p>
        </w:tc>
        <w:tc>
          <w:tcPr>
            <w:tcW w:w="0" w:type="auto"/>
            <w:vAlign w:val="center"/>
          </w:tcPr>
          <w:p w:rsidR="004D5620" w:rsidRPr="004D5620" w:rsidRDefault="00B6027F" w:rsidP="00B6027F">
            <w:pPr>
              <w:keepNext/>
              <w:suppressAutoHyphens/>
              <w:spacing w:before="60"/>
              <w:outlineLvl w:val="2"/>
              <w:rPr>
                <w:rFonts w:ascii="QuadraatSans-Regular" w:eastAsia="MS Mincho" w:hAnsi="QuadraatSans-Regular"/>
              </w:rPr>
            </w:pPr>
            <w:r>
              <w:rPr>
                <w:rFonts w:ascii="QuadraatSans-Regular" w:eastAsia="MS Mincho" w:hAnsi="QuadraatSans-Regular"/>
              </w:rPr>
              <w:t>Vermogen op 1 </w:t>
            </w:r>
            <w:r w:rsidR="004D5620" w:rsidRPr="004D5620">
              <w:rPr>
                <w:rFonts w:ascii="QuadraatSans-Regular" w:eastAsia="MS Mincho" w:hAnsi="QuadraatSans-Regular"/>
              </w:rPr>
              <w:t>januari 20</w:t>
            </w:r>
            <w:r w:rsidR="00AB7D03">
              <w:rPr>
                <w:rFonts w:ascii="QuadraatSans-Regular" w:eastAsia="MS Mincho" w:hAnsi="QuadraatSans-Regular"/>
              </w:rPr>
              <w:t>20</w:t>
            </w:r>
          </w:p>
        </w:tc>
        <w:tc>
          <w:tcPr>
            <w:tcW w:w="0" w:type="auto"/>
            <w:vAlign w:val="center"/>
          </w:tcPr>
          <w:p w:rsidR="004D5620" w:rsidRPr="004D5620" w:rsidRDefault="004D5620" w:rsidP="00B6027F">
            <w:pPr>
              <w:keepNext/>
              <w:suppressAutoHyphens/>
              <w:spacing w:before="60"/>
              <w:outlineLvl w:val="2"/>
              <w:rPr>
                <w:rFonts w:ascii="QuadraatSans-Regular" w:eastAsia="MS Mincho" w:hAnsi="QuadraatSans-Regular"/>
                <w:i/>
              </w:rPr>
            </w:pPr>
            <w:r w:rsidRPr="004D5620">
              <w:rPr>
                <w:rFonts w:ascii="QuadraatSans-Regular" w:eastAsia="MS Mincho" w:hAnsi="QuadraatSans-Regular"/>
                <w:i/>
              </w:rPr>
              <w:t>Spaardeel (0,</w:t>
            </w:r>
            <w:r w:rsidR="00AB7D03">
              <w:rPr>
                <w:rFonts w:ascii="QuadraatSans-Regular" w:eastAsia="MS Mincho" w:hAnsi="QuadraatSans-Regular"/>
                <w:i/>
              </w:rPr>
              <w:t>06</w:t>
            </w:r>
            <w:r w:rsidRPr="004D5620">
              <w:rPr>
                <w:rFonts w:ascii="QuadraatSans-Regular" w:eastAsia="MS Mincho" w:hAnsi="QuadraatSans-Regular"/>
                <w:i/>
              </w:rPr>
              <w:t>%)</w:t>
            </w:r>
          </w:p>
        </w:tc>
        <w:tc>
          <w:tcPr>
            <w:tcW w:w="0" w:type="auto"/>
            <w:vAlign w:val="center"/>
          </w:tcPr>
          <w:p w:rsidR="004D5620" w:rsidRPr="004D5620" w:rsidRDefault="004D5620" w:rsidP="00B6027F">
            <w:pPr>
              <w:keepNext/>
              <w:suppressAutoHyphens/>
              <w:spacing w:before="60"/>
              <w:outlineLvl w:val="2"/>
              <w:rPr>
                <w:rFonts w:ascii="QuadraatSans-Regular" w:eastAsia="MS Mincho" w:hAnsi="QuadraatSans-Regular"/>
                <w:i/>
              </w:rPr>
            </w:pPr>
            <w:r w:rsidRPr="004D5620">
              <w:rPr>
                <w:rFonts w:ascii="QuadraatSans-Regular" w:eastAsia="MS Mincho" w:hAnsi="QuadraatSans-Regular"/>
                <w:i/>
              </w:rPr>
              <w:t>Beleggingsdeel (5,</w:t>
            </w:r>
            <w:r w:rsidR="00AB7D03">
              <w:rPr>
                <w:rFonts w:ascii="QuadraatSans-Regular" w:eastAsia="MS Mincho" w:hAnsi="QuadraatSans-Regular"/>
                <w:i/>
              </w:rPr>
              <w:t>33</w:t>
            </w:r>
            <w:r w:rsidRPr="004D5620">
              <w:rPr>
                <w:rFonts w:ascii="QuadraatSans-Regular" w:eastAsia="MS Mincho" w:hAnsi="QuadraatSans-Regular"/>
                <w:i/>
              </w:rPr>
              <w:t>%)</w:t>
            </w:r>
          </w:p>
        </w:tc>
        <w:tc>
          <w:tcPr>
            <w:tcW w:w="0" w:type="auto"/>
            <w:vAlign w:val="center"/>
          </w:tcPr>
          <w:p w:rsidR="004D5620" w:rsidRPr="004D5620" w:rsidRDefault="004D5620" w:rsidP="00B6027F">
            <w:pPr>
              <w:keepNext/>
              <w:suppressAutoHyphens/>
              <w:spacing w:before="60"/>
              <w:outlineLvl w:val="2"/>
              <w:rPr>
                <w:rFonts w:ascii="QuadraatSans-Regular" w:eastAsia="MS Mincho" w:hAnsi="QuadraatSans-Regular"/>
              </w:rPr>
            </w:pPr>
            <w:r w:rsidRPr="004D5620">
              <w:rPr>
                <w:rFonts w:ascii="QuadraatSans-Regular" w:eastAsia="MS Mincho" w:hAnsi="QuadraatSans-Regular"/>
              </w:rPr>
              <w:t>Gemiddeld fictief rendement per schijf</w:t>
            </w:r>
          </w:p>
        </w:tc>
        <w:tc>
          <w:tcPr>
            <w:tcW w:w="0" w:type="auto"/>
            <w:vAlign w:val="center"/>
          </w:tcPr>
          <w:p w:rsidR="004D5620" w:rsidRPr="004D5620" w:rsidRDefault="004D5620" w:rsidP="00B6027F">
            <w:pPr>
              <w:keepNext/>
              <w:suppressAutoHyphens/>
              <w:spacing w:before="60"/>
              <w:outlineLvl w:val="2"/>
              <w:rPr>
                <w:rFonts w:ascii="QuadraatSans-Regular" w:eastAsia="MS Mincho" w:hAnsi="QuadraatSans-Regular"/>
              </w:rPr>
            </w:pPr>
            <w:r w:rsidRPr="004D5620">
              <w:rPr>
                <w:rFonts w:ascii="QuadraatSans-Regular" w:eastAsia="MS Mincho" w:hAnsi="QuadraatSans-Regular"/>
              </w:rPr>
              <w:t>belastingtarief</w:t>
            </w:r>
          </w:p>
        </w:tc>
      </w:tr>
      <w:tr w:rsidR="004D5620" w:rsidRPr="004D5620" w:rsidTr="00B6027F">
        <w:tc>
          <w:tcPr>
            <w:tcW w:w="0" w:type="auto"/>
            <w:vAlign w:val="center"/>
          </w:tcPr>
          <w:p w:rsidR="004D5620" w:rsidRPr="004D5620" w:rsidRDefault="004D5620" w:rsidP="00B6027F">
            <w:pPr>
              <w:keepNext/>
              <w:suppressAutoHyphens/>
              <w:spacing w:before="60"/>
              <w:outlineLvl w:val="2"/>
              <w:rPr>
                <w:rFonts w:ascii="QuadraatSans-Regular" w:eastAsia="MS Mincho" w:hAnsi="QuadraatSans-Regular"/>
              </w:rPr>
            </w:pPr>
            <w:r w:rsidRPr="004D5620">
              <w:rPr>
                <w:rFonts w:ascii="QuadraatSans-Regular" w:eastAsia="MS Mincho" w:hAnsi="QuadraatSans-Regular"/>
              </w:rPr>
              <w:t>0</w:t>
            </w:r>
          </w:p>
        </w:tc>
        <w:tc>
          <w:tcPr>
            <w:tcW w:w="0" w:type="auto"/>
            <w:vAlign w:val="center"/>
          </w:tcPr>
          <w:p w:rsidR="004D5620" w:rsidRPr="004D5620" w:rsidRDefault="004D5620" w:rsidP="00B6027F">
            <w:pPr>
              <w:keepNext/>
              <w:suppressAutoHyphens/>
              <w:spacing w:before="60"/>
              <w:outlineLvl w:val="2"/>
              <w:rPr>
                <w:rFonts w:ascii="QuadraatSans-Regular" w:eastAsia="MS Mincho" w:hAnsi="QuadraatSans-Regular"/>
              </w:rPr>
            </w:pPr>
            <w:r w:rsidRPr="004D5620">
              <w:rPr>
                <w:rFonts w:ascii="QuadraatSans-Regular" w:eastAsia="MS Mincho" w:hAnsi="QuadraatSans-Regular"/>
              </w:rPr>
              <w:t>Tot € 30.</w:t>
            </w:r>
            <w:r w:rsidR="00AB7D03">
              <w:rPr>
                <w:rFonts w:ascii="QuadraatSans-Regular" w:eastAsia="MS Mincho" w:hAnsi="QuadraatSans-Regular"/>
              </w:rPr>
              <w:t>846</w:t>
            </w:r>
            <w:r w:rsidRPr="004D5620">
              <w:rPr>
                <w:rFonts w:ascii="QuadraatSans-Regular" w:eastAsia="MS Mincho" w:hAnsi="QuadraatSans-Regular"/>
              </w:rPr>
              <w:t xml:space="preserve"> </w:t>
            </w:r>
          </w:p>
        </w:tc>
        <w:tc>
          <w:tcPr>
            <w:tcW w:w="0" w:type="auto"/>
            <w:vAlign w:val="center"/>
          </w:tcPr>
          <w:p w:rsidR="004D5620" w:rsidRPr="004D5620" w:rsidRDefault="004D5620" w:rsidP="00B6027F">
            <w:pPr>
              <w:keepNext/>
              <w:suppressAutoHyphens/>
              <w:spacing w:before="60"/>
              <w:outlineLvl w:val="2"/>
              <w:rPr>
                <w:rFonts w:ascii="QuadraatSans-Regular" w:eastAsia="MS Mincho" w:hAnsi="QuadraatSans-Regular"/>
                <w:i/>
              </w:rPr>
            </w:pPr>
            <w:r w:rsidRPr="004D5620">
              <w:rPr>
                <w:rFonts w:ascii="QuadraatSans-Regular" w:eastAsia="MS Mincho" w:hAnsi="QuadraatSans-Regular"/>
                <w:i/>
              </w:rPr>
              <w:t>-</w:t>
            </w:r>
          </w:p>
        </w:tc>
        <w:tc>
          <w:tcPr>
            <w:tcW w:w="0" w:type="auto"/>
            <w:vAlign w:val="center"/>
          </w:tcPr>
          <w:p w:rsidR="004D5620" w:rsidRPr="004D5620" w:rsidRDefault="004D5620" w:rsidP="00B6027F">
            <w:pPr>
              <w:keepNext/>
              <w:suppressAutoHyphens/>
              <w:spacing w:before="60"/>
              <w:outlineLvl w:val="2"/>
              <w:rPr>
                <w:rFonts w:ascii="QuadraatSans-Regular" w:eastAsia="MS Mincho" w:hAnsi="QuadraatSans-Regular"/>
                <w:i/>
              </w:rPr>
            </w:pPr>
            <w:r w:rsidRPr="004D5620">
              <w:rPr>
                <w:rFonts w:ascii="QuadraatSans-Regular" w:eastAsia="MS Mincho" w:hAnsi="QuadraatSans-Regular"/>
                <w:i/>
              </w:rPr>
              <w:t>-</w:t>
            </w:r>
          </w:p>
        </w:tc>
        <w:tc>
          <w:tcPr>
            <w:tcW w:w="0" w:type="auto"/>
            <w:vAlign w:val="center"/>
          </w:tcPr>
          <w:p w:rsidR="004D5620" w:rsidRPr="004D5620" w:rsidRDefault="004D5620" w:rsidP="00B6027F">
            <w:pPr>
              <w:keepNext/>
              <w:suppressAutoHyphens/>
              <w:spacing w:before="60"/>
              <w:outlineLvl w:val="2"/>
              <w:rPr>
                <w:rFonts w:ascii="QuadraatSans-Regular" w:eastAsia="MS Mincho" w:hAnsi="QuadraatSans-Regular"/>
              </w:rPr>
            </w:pPr>
            <w:r w:rsidRPr="004D5620">
              <w:rPr>
                <w:rFonts w:ascii="QuadraatSans-Regular" w:eastAsia="MS Mincho" w:hAnsi="QuadraatSans-Regular"/>
              </w:rPr>
              <w:t>-</w:t>
            </w:r>
          </w:p>
        </w:tc>
        <w:tc>
          <w:tcPr>
            <w:tcW w:w="0" w:type="auto"/>
            <w:vAlign w:val="center"/>
          </w:tcPr>
          <w:p w:rsidR="004D5620" w:rsidRPr="004D5620" w:rsidRDefault="004D5620" w:rsidP="00B6027F">
            <w:pPr>
              <w:keepNext/>
              <w:suppressAutoHyphens/>
              <w:spacing w:before="60"/>
              <w:outlineLvl w:val="2"/>
              <w:rPr>
                <w:rFonts w:ascii="QuadraatSans-Regular" w:eastAsia="MS Mincho" w:hAnsi="QuadraatSans-Regular"/>
              </w:rPr>
            </w:pPr>
            <w:r w:rsidRPr="004D5620">
              <w:rPr>
                <w:rFonts w:ascii="QuadraatSans-Regular" w:eastAsia="MS Mincho" w:hAnsi="QuadraatSans-Regular"/>
              </w:rPr>
              <w:t>0%</w:t>
            </w:r>
          </w:p>
        </w:tc>
      </w:tr>
      <w:tr w:rsidR="004D5620" w:rsidRPr="004D5620" w:rsidTr="00B6027F">
        <w:tc>
          <w:tcPr>
            <w:tcW w:w="0" w:type="auto"/>
            <w:vAlign w:val="center"/>
          </w:tcPr>
          <w:p w:rsidR="004D5620" w:rsidRPr="004D5620" w:rsidRDefault="004D5620" w:rsidP="00B6027F">
            <w:pPr>
              <w:keepNext/>
              <w:suppressAutoHyphens/>
              <w:spacing w:before="60"/>
              <w:outlineLvl w:val="2"/>
              <w:rPr>
                <w:rFonts w:ascii="QuadraatSans-Regular" w:eastAsia="MS Mincho" w:hAnsi="QuadraatSans-Regular"/>
              </w:rPr>
            </w:pPr>
            <w:r w:rsidRPr="004D5620">
              <w:rPr>
                <w:rFonts w:ascii="QuadraatSans-Regular" w:eastAsia="MS Mincho" w:hAnsi="QuadraatSans-Regular"/>
              </w:rPr>
              <w:t>1</w:t>
            </w:r>
          </w:p>
        </w:tc>
        <w:tc>
          <w:tcPr>
            <w:tcW w:w="0" w:type="auto"/>
            <w:vAlign w:val="center"/>
          </w:tcPr>
          <w:p w:rsidR="004D5620" w:rsidRPr="004D5620" w:rsidRDefault="004D5620" w:rsidP="00B6027F">
            <w:pPr>
              <w:keepNext/>
              <w:suppressAutoHyphens/>
              <w:spacing w:before="60"/>
              <w:outlineLvl w:val="2"/>
              <w:rPr>
                <w:rFonts w:ascii="QuadraatSans-Regular" w:eastAsia="MS Mincho" w:hAnsi="QuadraatSans-Regular"/>
              </w:rPr>
            </w:pPr>
            <w:r w:rsidRPr="004D5620">
              <w:rPr>
                <w:rFonts w:ascii="QuadraatSans-Regular" w:eastAsia="MS Mincho" w:hAnsi="QuadraatSans-Regular"/>
              </w:rPr>
              <w:t>Vanaf € 30.</w:t>
            </w:r>
            <w:r w:rsidR="00AB7D03">
              <w:rPr>
                <w:rFonts w:ascii="QuadraatSans-Regular" w:eastAsia="MS Mincho" w:hAnsi="QuadraatSans-Regular"/>
              </w:rPr>
              <w:t xml:space="preserve">846 </w:t>
            </w:r>
            <w:r w:rsidRPr="004D5620">
              <w:rPr>
                <w:rFonts w:ascii="QuadraatSans-Regular" w:eastAsia="MS Mincho" w:hAnsi="QuadraatSans-Regular"/>
              </w:rPr>
              <w:t>t/m €</w:t>
            </w:r>
            <w:r w:rsidR="00B6027F">
              <w:rPr>
                <w:rFonts w:ascii="QuadraatSans-Regular" w:eastAsia="MS Mincho" w:hAnsi="QuadraatSans-Regular"/>
              </w:rPr>
              <w:t> </w:t>
            </w:r>
            <w:r w:rsidRPr="004D5620">
              <w:rPr>
                <w:rFonts w:ascii="QuadraatSans-Regular" w:eastAsia="MS Mincho" w:hAnsi="QuadraatSans-Regular"/>
              </w:rPr>
              <w:t xml:space="preserve"> 10</w:t>
            </w:r>
            <w:r w:rsidR="00AB7D03">
              <w:rPr>
                <w:rFonts w:ascii="QuadraatSans-Regular" w:eastAsia="MS Mincho" w:hAnsi="QuadraatSans-Regular"/>
              </w:rPr>
              <w:t>3</w:t>
            </w:r>
            <w:r w:rsidRPr="004D5620">
              <w:rPr>
                <w:rFonts w:ascii="QuadraatSans-Regular" w:eastAsia="MS Mincho" w:hAnsi="QuadraatSans-Regular"/>
              </w:rPr>
              <w:t>.</w:t>
            </w:r>
            <w:r w:rsidR="00AB7D03">
              <w:rPr>
                <w:rFonts w:ascii="QuadraatSans-Regular" w:eastAsia="MS Mincho" w:hAnsi="QuadraatSans-Regular"/>
              </w:rPr>
              <w:t>643</w:t>
            </w:r>
          </w:p>
        </w:tc>
        <w:tc>
          <w:tcPr>
            <w:tcW w:w="0" w:type="auto"/>
            <w:vAlign w:val="center"/>
          </w:tcPr>
          <w:p w:rsidR="004D5620" w:rsidRPr="004D5620" w:rsidRDefault="004D5620" w:rsidP="00B6027F">
            <w:pPr>
              <w:keepNext/>
              <w:suppressAutoHyphens/>
              <w:spacing w:before="60"/>
              <w:outlineLvl w:val="2"/>
              <w:rPr>
                <w:rFonts w:ascii="QuadraatSans-Regular" w:eastAsia="MS Mincho" w:hAnsi="QuadraatSans-Regular"/>
                <w:i/>
              </w:rPr>
            </w:pPr>
            <w:r w:rsidRPr="004D5620">
              <w:rPr>
                <w:rFonts w:ascii="QuadraatSans-Regular" w:eastAsia="MS Mincho" w:hAnsi="QuadraatSans-Regular"/>
                <w:i/>
              </w:rPr>
              <w:t>67%</w:t>
            </w:r>
          </w:p>
        </w:tc>
        <w:tc>
          <w:tcPr>
            <w:tcW w:w="0" w:type="auto"/>
            <w:vAlign w:val="center"/>
          </w:tcPr>
          <w:p w:rsidR="004D5620" w:rsidRPr="004D5620" w:rsidRDefault="004D5620" w:rsidP="00B6027F">
            <w:pPr>
              <w:keepNext/>
              <w:suppressAutoHyphens/>
              <w:spacing w:before="60"/>
              <w:outlineLvl w:val="2"/>
              <w:rPr>
                <w:rFonts w:ascii="QuadraatSans-Regular" w:eastAsia="MS Mincho" w:hAnsi="QuadraatSans-Regular"/>
                <w:i/>
              </w:rPr>
            </w:pPr>
            <w:r w:rsidRPr="004D5620">
              <w:rPr>
                <w:rFonts w:ascii="QuadraatSans-Regular" w:eastAsia="MS Mincho" w:hAnsi="QuadraatSans-Regular"/>
                <w:i/>
              </w:rPr>
              <w:t>33%</w:t>
            </w:r>
          </w:p>
        </w:tc>
        <w:tc>
          <w:tcPr>
            <w:tcW w:w="0" w:type="auto"/>
            <w:vAlign w:val="center"/>
          </w:tcPr>
          <w:p w:rsidR="004D5620" w:rsidRPr="004D5620" w:rsidRDefault="004D5620" w:rsidP="00B6027F">
            <w:pPr>
              <w:keepNext/>
              <w:suppressAutoHyphens/>
              <w:spacing w:before="60"/>
              <w:outlineLvl w:val="2"/>
              <w:rPr>
                <w:rFonts w:ascii="QuadraatSans-Regular" w:eastAsia="MS Mincho" w:hAnsi="QuadraatSans-Regular"/>
              </w:rPr>
            </w:pPr>
            <w:r w:rsidRPr="004D5620">
              <w:rPr>
                <w:rFonts w:ascii="QuadraatSans-Regular" w:eastAsia="MS Mincho" w:hAnsi="QuadraatSans-Regular"/>
              </w:rPr>
              <w:t>1,</w:t>
            </w:r>
            <w:r w:rsidR="00AB7D03">
              <w:rPr>
                <w:rFonts w:ascii="QuadraatSans-Regular" w:eastAsia="MS Mincho" w:hAnsi="QuadraatSans-Regular"/>
              </w:rPr>
              <w:t>80</w:t>
            </w:r>
            <w:r w:rsidRPr="004D5620">
              <w:rPr>
                <w:rFonts w:ascii="QuadraatSans-Regular" w:eastAsia="MS Mincho" w:hAnsi="QuadraatSans-Regular"/>
              </w:rPr>
              <w:t>%</w:t>
            </w:r>
          </w:p>
        </w:tc>
        <w:tc>
          <w:tcPr>
            <w:tcW w:w="0" w:type="auto"/>
            <w:vAlign w:val="center"/>
          </w:tcPr>
          <w:p w:rsidR="004D5620" w:rsidRPr="004D5620" w:rsidRDefault="004D5620" w:rsidP="00B6027F">
            <w:pPr>
              <w:keepNext/>
              <w:suppressAutoHyphens/>
              <w:spacing w:before="60"/>
              <w:outlineLvl w:val="2"/>
              <w:rPr>
                <w:rFonts w:ascii="QuadraatSans-Regular" w:eastAsia="MS Mincho" w:hAnsi="QuadraatSans-Regular"/>
              </w:rPr>
            </w:pPr>
            <w:r w:rsidRPr="004D5620">
              <w:rPr>
                <w:rFonts w:ascii="QuadraatSans-Regular" w:eastAsia="MS Mincho" w:hAnsi="QuadraatSans-Regular"/>
              </w:rPr>
              <w:t>30%</w:t>
            </w:r>
          </w:p>
        </w:tc>
      </w:tr>
      <w:tr w:rsidR="004D5620" w:rsidRPr="004D5620" w:rsidTr="00B6027F">
        <w:tc>
          <w:tcPr>
            <w:tcW w:w="0" w:type="auto"/>
            <w:vAlign w:val="center"/>
          </w:tcPr>
          <w:p w:rsidR="004D5620" w:rsidRPr="004D5620" w:rsidRDefault="004D5620" w:rsidP="00B6027F">
            <w:pPr>
              <w:keepNext/>
              <w:suppressAutoHyphens/>
              <w:spacing w:before="60"/>
              <w:outlineLvl w:val="2"/>
              <w:rPr>
                <w:rFonts w:ascii="QuadraatSans-Regular" w:eastAsia="MS Mincho" w:hAnsi="QuadraatSans-Regular"/>
              </w:rPr>
            </w:pPr>
            <w:r w:rsidRPr="004D5620">
              <w:rPr>
                <w:rFonts w:ascii="QuadraatSans-Regular" w:eastAsia="MS Mincho" w:hAnsi="QuadraatSans-Regular"/>
              </w:rPr>
              <w:t>2</w:t>
            </w:r>
          </w:p>
        </w:tc>
        <w:tc>
          <w:tcPr>
            <w:tcW w:w="0" w:type="auto"/>
            <w:vAlign w:val="center"/>
          </w:tcPr>
          <w:p w:rsidR="004D5620" w:rsidRPr="004D5620" w:rsidRDefault="004D5620" w:rsidP="00B6027F">
            <w:pPr>
              <w:keepNext/>
              <w:suppressAutoHyphens/>
              <w:spacing w:before="60"/>
              <w:outlineLvl w:val="2"/>
              <w:rPr>
                <w:rFonts w:ascii="QuadraatSans-Regular" w:eastAsia="MS Mincho" w:hAnsi="QuadraatSans-Regular"/>
              </w:rPr>
            </w:pPr>
            <w:r w:rsidRPr="004D5620">
              <w:rPr>
                <w:rFonts w:ascii="QuadraatSans-Regular" w:eastAsia="MS Mincho" w:hAnsi="QuadraatSans-Regular"/>
              </w:rPr>
              <w:t>Vanaf € 10</w:t>
            </w:r>
            <w:r w:rsidR="00AB7D03">
              <w:rPr>
                <w:rFonts w:ascii="QuadraatSans-Regular" w:eastAsia="MS Mincho" w:hAnsi="QuadraatSans-Regular"/>
              </w:rPr>
              <w:t>3</w:t>
            </w:r>
            <w:r w:rsidRPr="004D5620">
              <w:rPr>
                <w:rFonts w:ascii="QuadraatSans-Regular" w:eastAsia="MS Mincho" w:hAnsi="QuadraatSans-Regular"/>
              </w:rPr>
              <w:t>.</w:t>
            </w:r>
            <w:r w:rsidR="00AB7D03">
              <w:rPr>
                <w:rFonts w:ascii="QuadraatSans-Regular" w:eastAsia="MS Mincho" w:hAnsi="QuadraatSans-Regular"/>
              </w:rPr>
              <w:t>643</w:t>
            </w:r>
            <w:r w:rsidRPr="004D5620">
              <w:rPr>
                <w:rFonts w:ascii="QuadraatSans-Regular" w:eastAsia="MS Mincho" w:hAnsi="QuadraatSans-Regular"/>
              </w:rPr>
              <w:t xml:space="preserve"> t/m € 1.0</w:t>
            </w:r>
            <w:r w:rsidR="00AB7D03">
              <w:rPr>
                <w:rFonts w:ascii="QuadraatSans-Regular" w:eastAsia="MS Mincho" w:hAnsi="QuadraatSans-Regular"/>
              </w:rPr>
              <w:t>36</w:t>
            </w:r>
            <w:r w:rsidRPr="004D5620">
              <w:rPr>
                <w:rFonts w:ascii="QuadraatSans-Regular" w:eastAsia="MS Mincho" w:hAnsi="QuadraatSans-Regular"/>
              </w:rPr>
              <w:t>.</w:t>
            </w:r>
            <w:r w:rsidR="00AB7D03">
              <w:rPr>
                <w:rFonts w:ascii="QuadraatSans-Regular" w:eastAsia="MS Mincho" w:hAnsi="QuadraatSans-Regular"/>
              </w:rPr>
              <w:t>418</w:t>
            </w:r>
          </w:p>
        </w:tc>
        <w:tc>
          <w:tcPr>
            <w:tcW w:w="0" w:type="auto"/>
            <w:vAlign w:val="center"/>
          </w:tcPr>
          <w:p w:rsidR="004D5620" w:rsidRPr="004D5620" w:rsidRDefault="004D5620" w:rsidP="00B6027F">
            <w:pPr>
              <w:keepNext/>
              <w:suppressAutoHyphens/>
              <w:spacing w:before="60"/>
              <w:outlineLvl w:val="2"/>
              <w:rPr>
                <w:rFonts w:ascii="QuadraatSans-Regular" w:eastAsia="MS Mincho" w:hAnsi="QuadraatSans-Regular"/>
                <w:i/>
              </w:rPr>
            </w:pPr>
            <w:r w:rsidRPr="004D5620">
              <w:rPr>
                <w:rFonts w:ascii="QuadraatSans-Regular" w:eastAsia="MS Mincho" w:hAnsi="QuadraatSans-Regular"/>
                <w:i/>
              </w:rPr>
              <w:t>21%</w:t>
            </w:r>
          </w:p>
        </w:tc>
        <w:tc>
          <w:tcPr>
            <w:tcW w:w="0" w:type="auto"/>
            <w:vAlign w:val="center"/>
          </w:tcPr>
          <w:p w:rsidR="004D5620" w:rsidRPr="004D5620" w:rsidRDefault="004D5620" w:rsidP="00B6027F">
            <w:pPr>
              <w:keepNext/>
              <w:suppressAutoHyphens/>
              <w:spacing w:before="60"/>
              <w:outlineLvl w:val="2"/>
              <w:rPr>
                <w:rFonts w:ascii="QuadraatSans-Regular" w:eastAsia="MS Mincho" w:hAnsi="QuadraatSans-Regular"/>
                <w:i/>
              </w:rPr>
            </w:pPr>
            <w:r w:rsidRPr="004D5620">
              <w:rPr>
                <w:rFonts w:ascii="QuadraatSans-Regular" w:eastAsia="MS Mincho" w:hAnsi="QuadraatSans-Regular"/>
                <w:i/>
              </w:rPr>
              <w:t>79%</w:t>
            </w:r>
          </w:p>
        </w:tc>
        <w:tc>
          <w:tcPr>
            <w:tcW w:w="0" w:type="auto"/>
            <w:vAlign w:val="center"/>
          </w:tcPr>
          <w:p w:rsidR="004D5620" w:rsidRPr="004D5620" w:rsidRDefault="004D5620" w:rsidP="00B6027F">
            <w:pPr>
              <w:keepNext/>
              <w:suppressAutoHyphens/>
              <w:spacing w:before="60"/>
              <w:outlineLvl w:val="2"/>
              <w:rPr>
                <w:rFonts w:ascii="QuadraatSans-Regular" w:eastAsia="MS Mincho" w:hAnsi="QuadraatSans-Regular"/>
              </w:rPr>
            </w:pPr>
            <w:r w:rsidRPr="004D5620">
              <w:rPr>
                <w:rFonts w:ascii="QuadraatSans-Regular" w:eastAsia="MS Mincho" w:hAnsi="QuadraatSans-Regular"/>
              </w:rPr>
              <w:t>4,</w:t>
            </w:r>
            <w:r w:rsidR="00AB7D03">
              <w:rPr>
                <w:rFonts w:ascii="QuadraatSans-Regular" w:eastAsia="MS Mincho" w:hAnsi="QuadraatSans-Regular"/>
              </w:rPr>
              <w:t>22</w:t>
            </w:r>
            <w:r w:rsidRPr="004D5620">
              <w:rPr>
                <w:rFonts w:ascii="QuadraatSans-Regular" w:eastAsia="MS Mincho" w:hAnsi="QuadraatSans-Regular"/>
              </w:rPr>
              <w:t>%</w:t>
            </w:r>
          </w:p>
        </w:tc>
        <w:tc>
          <w:tcPr>
            <w:tcW w:w="0" w:type="auto"/>
            <w:vAlign w:val="center"/>
          </w:tcPr>
          <w:p w:rsidR="004D5620" w:rsidRPr="004D5620" w:rsidRDefault="004D5620" w:rsidP="00B6027F">
            <w:pPr>
              <w:keepNext/>
              <w:suppressAutoHyphens/>
              <w:spacing w:before="60"/>
              <w:outlineLvl w:val="2"/>
              <w:rPr>
                <w:rFonts w:ascii="QuadraatSans-Regular" w:eastAsia="MS Mincho" w:hAnsi="QuadraatSans-Regular"/>
              </w:rPr>
            </w:pPr>
            <w:r w:rsidRPr="004D5620">
              <w:rPr>
                <w:rFonts w:ascii="QuadraatSans-Regular" w:eastAsia="MS Mincho" w:hAnsi="QuadraatSans-Regular"/>
              </w:rPr>
              <w:t>30%</w:t>
            </w:r>
          </w:p>
        </w:tc>
      </w:tr>
      <w:tr w:rsidR="004D5620" w:rsidRPr="004D5620" w:rsidTr="00B6027F">
        <w:trPr>
          <w:trHeight w:val="410"/>
        </w:trPr>
        <w:tc>
          <w:tcPr>
            <w:tcW w:w="0" w:type="auto"/>
            <w:vAlign w:val="center"/>
          </w:tcPr>
          <w:p w:rsidR="004D5620" w:rsidRPr="004D5620" w:rsidRDefault="004D5620" w:rsidP="00B6027F">
            <w:pPr>
              <w:keepNext/>
              <w:suppressAutoHyphens/>
              <w:spacing w:before="60"/>
              <w:outlineLvl w:val="2"/>
              <w:rPr>
                <w:rFonts w:ascii="QuadraatSans-Regular" w:eastAsia="MS Mincho" w:hAnsi="QuadraatSans-Regular"/>
              </w:rPr>
            </w:pPr>
            <w:r w:rsidRPr="004D5620">
              <w:rPr>
                <w:rFonts w:ascii="QuadraatSans-Regular" w:eastAsia="MS Mincho" w:hAnsi="QuadraatSans-Regular"/>
              </w:rPr>
              <w:t>3</w:t>
            </w:r>
          </w:p>
        </w:tc>
        <w:tc>
          <w:tcPr>
            <w:tcW w:w="0" w:type="auto"/>
            <w:vAlign w:val="center"/>
          </w:tcPr>
          <w:p w:rsidR="004D5620" w:rsidRPr="004D5620" w:rsidRDefault="004D5620" w:rsidP="00B6027F">
            <w:pPr>
              <w:keepNext/>
              <w:suppressAutoHyphens/>
              <w:spacing w:before="60"/>
              <w:outlineLvl w:val="2"/>
              <w:rPr>
                <w:rFonts w:ascii="QuadraatSans-Regular" w:eastAsia="MS Mincho" w:hAnsi="QuadraatSans-Regular"/>
              </w:rPr>
            </w:pPr>
            <w:r w:rsidRPr="004D5620">
              <w:rPr>
                <w:rFonts w:ascii="QuadraatSans-Regular" w:eastAsia="MS Mincho" w:hAnsi="QuadraatSans-Regular"/>
              </w:rPr>
              <w:t>Vanaf € 1.0</w:t>
            </w:r>
            <w:r w:rsidR="00AB7D03">
              <w:rPr>
                <w:rFonts w:ascii="QuadraatSans-Regular" w:eastAsia="MS Mincho" w:hAnsi="QuadraatSans-Regular"/>
              </w:rPr>
              <w:t>36</w:t>
            </w:r>
            <w:r w:rsidRPr="004D5620">
              <w:rPr>
                <w:rFonts w:ascii="QuadraatSans-Regular" w:eastAsia="MS Mincho" w:hAnsi="QuadraatSans-Regular"/>
              </w:rPr>
              <w:t>.</w:t>
            </w:r>
            <w:r w:rsidR="00AB7D03">
              <w:rPr>
                <w:rFonts w:ascii="QuadraatSans-Regular" w:eastAsia="MS Mincho" w:hAnsi="QuadraatSans-Regular"/>
              </w:rPr>
              <w:t>418</w:t>
            </w:r>
          </w:p>
        </w:tc>
        <w:tc>
          <w:tcPr>
            <w:tcW w:w="0" w:type="auto"/>
            <w:vAlign w:val="center"/>
          </w:tcPr>
          <w:p w:rsidR="004D5620" w:rsidRPr="004D5620" w:rsidRDefault="00AB7D03" w:rsidP="00B6027F">
            <w:pPr>
              <w:keepNext/>
              <w:suppressAutoHyphens/>
              <w:spacing w:before="60"/>
              <w:outlineLvl w:val="2"/>
              <w:rPr>
                <w:rFonts w:ascii="QuadraatSans-Regular" w:eastAsia="MS Mincho" w:hAnsi="QuadraatSans-Regular"/>
                <w:i/>
              </w:rPr>
            </w:pPr>
            <w:r>
              <w:rPr>
                <w:rFonts w:ascii="QuadraatSans-Regular" w:eastAsia="MS Mincho" w:hAnsi="QuadraatSans-Regular"/>
                <w:i/>
              </w:rPr>
              <w:t>0%</w:t>
            </w:r>
          </w:p>
        </w:tc>
        <w:tc>
          <w:tcPr>
            <w:tcW w:w="0" w:type="auto"/>
            <w:vAlign w:val="center"/>
          </w:tcPr>
          <w:p w:rsidR="004D5620" w:rsidRPr="004D5620" w:rsidRDefault="00AB7D03" w:rsidP="00B6027F">
            <w:pPr>
              <w:keepNext/>
              <w:suppressAutoHyphens/>
              <w:spacing w:before="60"/>
              <w:outlineLvl w:val="2"/>
              <w:rPr>
                <w:rFonts w:ascii="QuadraatSans-Regular" w:eastAsia="MS Mincho" w:hAnsi="QuadraatSans-Regular"/>
                <w:i/>
              </w:rPr>
            </w:pPr>
            <w:r>
              <w:rPr>
                <w:rFonts w:ascii="QuadraatSans-Regular" w:eastAsia="MS Mincho" w:hAnsi="QuadraatSans-Regular"/>
                <w:i/>
              </w:rPr>
              <w:t>100%</w:t>
            </w:r>
          </w:p>
        </w:tc>
        <w:tc>
          <w:tcPr>
            <w:tcW w:w="0" w:type="auto"/>
            <w:vAlign w:val="center"/>
          </w:tcPr>
          <w:p w:rsidR="004D5620" w:rsidRPr="004D5620" w:rsidRDefault="004D5620" w:rsidP="00B6027F">
            <w:pPr>
              <w:keepNext/>
              <w:suppressAutoHyphens/>
              <w:spacing w:before="60"/>
              <w:outlineLvl w:val="2"/>
              <w:rPr>
                <w:rFonts w:ascii="QuadraatSans-Regular" w:eastAsia="MS Mincho" w:hAnsi="QuadraatSans-Regular"/>
              </w:rPr>
            </w:pPr>
            <w:r w:rsidRPr="004D5620">
              <w:rPr>
                <w:rFonts w:ascii="QuadraatSans-Regular" w:eastAsia="MS Mincho" w:hAnsi="QuadraatSans-Regular"/>
              </w:rPr>
              <w:t>5,</w:t>
            </w:r>
            <w:r w:rsidR="00AB7D03">
              <w:rPr>
                <w:rFonts w:ascii="QuadraatSans-Regular" w:eastAsia="MS Mincho" w:hAnsi="QuadraatSans-Regular"/>
              </w:rPr>
              <w:t>33</w:t>
            </w:r>
            <w:r w:rsidRPr="004D5620">
              <w:rPr>
                <w:rFonts w:ascii="QuadraatSans-Regular" w:eastAsia="MS Mincho" w:hAnsi="QuadraatSans-Regular"/>
              </w:rPr>
              <w:t>%</w:t>
            </w:r>
          </w:p>
        </w:tc>
        <w:tc>
          <w:tcPr>
            <w:tcW w:w="0" w:type="auto"/>
            <w:vAlign w:val="center"/>
          </w:tcPr>
          <w:p w:rsidR="004D5620" w:rsidRPr="004D5620" w:rsidRDefault="004D5620" w:rsidP="00B6027F">
            <w:pPr>
              <w:keepNext/>
              <w:suppressAutoHyphens/>
              <w:spacing w:before="60"/>
              <w:outlineLvl w:val="2"/>
              <w:rPr>
                <w:rFonts w:ascii="QuadraatSans-Regular" w:eastAsia="MS Mincho" w:hAnsi="QuadraatSans-Regular"/>
              </w:rPr>
            </w:pPr>
            <w:r w:rsidRPr="004D5620">
              <w:rPr>
                <w:rFonts w:ascii="QuadraatSans-Regular" w:eastAsia="MS Mincho" w:hAnsi="QuadraatSans-Regular"/>
              </w:rPr>
              <w:t>30%</w:t>
            </w:r>
          </w:p>
        </w:tc>
      </w:tr>
    </w:tbl>
    <w:p w:rsidR="00AB7D03" w:rsidRPr="00AB7D03" w:rsidRDefault="00AB7D03" w:rsidP="00AB7D03">
      <w:pPr>
        <w:suppressAutoHyphens/>
        <w:jc w:val="both"/>
        <w:rPr>
          <w:rFonts w:ascii="QuadraatSans-Regular" w:eastAsia="MS Mincho" w:hAnsi="QuadraatSans-Regular"/>
          <w:sz w:val="20"/>
          <w:szCs w:val="24"/>
          <w:lang w:eastAsia="nl-NL"/>
        </w:rPr>
      </w:pPr>
    </w:p>
    <w:p w:rsidR="00AB7D03" w:rsidRPr="00AB7D03" w:rsidRDefault="00AB7D03" w:rsidP="00AB7D03">
      <w:pPr>
        <w:suppressAutoHyphens/>
        <w:jc w:val="both"/>
        <w:rPr>
          <w:rFonts w:ascii="QuadraatSans-Regular" w:eastAsia="MS Mincho" w:hAnsi="QuadraatSans-Regular"/>
          <w:sz w:val="20"/>
          <w:szCs w:val="24"/>
          <w:lang w:eastAsia="nl-NL"/>
        </w:rPr>
      </w:pPr>
    </w:p>
    <w:p w:rsidR="00AB7D03" w:rsidRPr="00AB7D03" w:rsidRDefault="00AB7D03" w:rsidP="00AB7D03">
      <w:pPr>
        <w:suppressAutoHyphens/>
        <w:jc w:val="both"/>
        <w:rPr>
          <w:rFonts w:ascii="QuadraatSans-Italic" w:eastAsia="MS Mincho" w:hAnsi="QuadraatSans-Italic"/>
          <w:iCs/>
          <w:sz w:val="20"/>
          <w:szCs w:val="24"/>
          <w:lang w:eastAsia="nl-NL"/>
        </w:rPr>
      </w:pPr>
      <w:r w:rsidRPr="00AB7D03">
        <w:rPr>
          <w:rFonts w:ascii="QuadraatSans-Italic" w:eastAsia="MS Mincho" w:hAnsi="QuadraatSans-Italic"/>
          <w:iCs/>
          <w:sz w:val="20"/>
          <w:szCs w:val="24"/>
          <w:lang w:eastAsia="nl-NL"/>
        </w:rPr>
        <w:t>Toelichting:</w:t>
      </w:r>
    </w:p>
    <w:p w:rsidR="00AB7D03" w:rsidRPr="00AB7D03" w:rsidRDefault="00220EC5" w:rsidP="00AB7D03">
      <w:pPr>
        <w:suppressAutoHyphens/>
        <w:ind w:left="360" w:hanging="360"/>
        <w:contextualSpacing/>
        <w:jc w:val="both"/>
        <w:rPr>
          <w:rFonts w:ascii="QuadraatSans-Regular" w:eastAsia="MS Mincho" w:hAnsi="QuadraatSans-Regular"/>
          <w:sz w:val="20"/>
          <w:szCs w:val="24"/>
          <w:lang w:eastAsia="nl-NL"/>
        </w:rPr>
      </w:pPr>
      <w:r>
        <w:rPr>
          <w:rFonts w:ascii="QuadraatSans-Regular" w:eastAsia="MS Mincho" w:hAnsi="QuadraatSans-Regular"/>
          <w:sz w:val="20"/>
          <w:szCs w:val="24"/>
          <w:lang w:eastAsia="nl-NL"/>
        </w:rPr>
        <w:t>-</w:t>
      </w:r>
      <w:r>
        <w:rPr>
          <w:rFonts w:ascii="QuadraatSans-Regular" w:eastAsia="MS Mincho" w:hAnsi="QuadraatSans-Regular"/>
          <w:sz w:val="20"/>
          <w:szCs w:val="24"/>
          <w:lang w:eastAsia="nl-NL"/>
        </w:rPr>
        <w:tab/>
      </w:r>
      <w:r w:rsidR="00AB7D03" w:rsidRPr="00AB7D03">
        <w:rPr>
          <w:rFonts w:ascii="QuadraatSans-Regular" w:eastAsia="MS Mincho" w:hAnsi="QuadraatSans-Regular"/>
          <w:sz w:val="20"/>
          <w:szCs w:val="24"/>
          <w:lang w:eastAsia="nl-NL"/>
        </w:rPr>
        <w:t>De eerste € 30.846 is heffingsvrij.</w:t>
      </w:r>
    </w:p>
    <w:p w:rsidR="00AB7D03" w:rsidRPr="00AB7D03" w:rsidRDefault="00220EC5" w:rsidP="00AB7D03">
      <w:pPr>
        <w:suppressAutoHyphens/>
        <w:ind w:left="360" w:hanging="360"/>
        <w:contextualSpacing/>
        <w:jc w:val="both"/>
        <w:rPr>
          <w:rFonts w:ascii="QuadraatSans-Regular" w:eastAsia="MS Mincho" w:hAnsi="QuadraatSans-Regular"/>
          <w:sz w:val="20"/>
          <w:szCs w:val="24"/>
          <w:lang w:eastAsia="nl-NL"/>
        </w:rPr>
      </w:pPr>
      <w:r>
        <w:rPr>
          <w:rFonts w:ascii="QuadraatSans-Regular" w:eastAsia="MS Mincho" w:hAnsi="QuadraatSans-Regular"/>
          <w:sz w:val="20"/>
          <w:szCs w:val="24"/>
          <w:lang w:eastAsia="nl-NL"/>
        </w:rPr>
        <w:t>-</w:t>
      </w:r>
      <w:r>
        <w:rPr>
          <w:rFonts w:ascii="QuadraatSans-Regular" w:eastAsia="MS Mincho" w:hAnsi="QuadraatSans-Regular"/>
          <w:sz w:val="20"/>
          <w:szCs w:val="24"/>
          <w:lang w:eastAsia="nl-NL"/>
        </w:rPr>
        <w:tab/>
      </w:r>
      <w:r w:rsidR="00AB7D03" w:rsidRPr="00AB7D03">
        <w:rPr>
          <w:rFonts w:ascii="QuadraatSans-Regular" w:eastAsia="MS Mincho" w:hAnsi="QuadraatSans-Regular"/>
          <w:sz w:val="20"/>
          <w:szCs w:val="24"/>
          <w:lang w:eastAsia="nl-NL"/>
        </w:rPr>
        <w:t>In kolom 3 staat het lage (0,06%) en in kolom 4 het hoge (5,33%) fictieve rendement.</w:t>
      </w:r>
    </w:p>
    <w:p w:rsidR="00AB7D03" w:rsidRPr="00AB7D03" w:rsidRDefault="00220EC5" w:rsidP="00AB7D03">
      <w:pPr>
        <w:suppressAutoHyphens/>
        <w:ind w:left="360" w:hanging="360"/>
        <w:contextualSpacing/>
        <w:jc w:val="both"/>
        <w:rPr>
          <w:rFonts w:ascii="QuadraatSans-Regular" w:eastAsia="MS Mincho" w:hAnsi="QuadraatSans-Regular"/>
          <w:sz w:val="20"/>
          <w:szCs w:val="24"/>
          <w:lang w:eastAsia="nl-NL"/>
        </w:rPr>
      </w:pPr>
      <w:bookmarkStart w:id="1" w:name="_Hlk30090180"/>
      <w:r>
        <w:rPr>
          <w:rFonts w:ascii="QuadraatSans-Regular" w:eastAsia="MS Mincho" w:hAnsi="QuadraatSans-Regular"/>
          <w:sz w:val="20"/>
          <w:szCs w:val="24"/>
          <w:lang w:eastAsia="nl-NL"/>
        </w:rPr>
        <w:t>-</w:t>
      </w:r>
      <w:r>
        <w:rPr>
          <w:rFonts w:ascii="QuadraatSans-Regular" w:eastAsia="MS Mincho" w:hAnsi="QuadraatSans-Regular"/>
          <w:sz w:val="20"/>
          <w:szCs w:val="24"/>
          <w:lang w:eastAsia="nl-NL"/>
        </w:rPr>
        <w:tab/>
      </w:r>
      <w:r w:rsidR="00AB7D03" w:rsidRPr="00AB7D03">
        <w:rPr>
          <w:rFonts w:ascii="QuadraatSans-Regular" w:eastAsia="MS Mincho" w:hAnsi="QuadraatSans-Regular"/>
          <w:sz w:val="20"/>
          <w:szCs w:val="24"/>
          <w:lang w:eastAsia="nl-NL"/>
        </w:rPr>
        <w:t xml:space="preserve">De fiscus gaat ervan uit dat de vermogens in </w:t>
      </w:r>
      <w:r w:rsidR="00AB7D03" w:rsidRPr="00B6027F">
        <w:rPr>
          <w:rFonts w:ascii="QuadraatSans-Regular" w:eastAsia="MS Mincho" w:hAnsi="QuadraatSans-Regular"/>
          <w:sz w:val="20"/>
          <w:szCs w:val="24"/>
          <w:lang w:eastAsia="nl-NL"/>
        </w:rPr>
        <w:t>schijf 1, voor tweederde deel (67%) worden belegd via een spaarrekening en voor eenderde deel (33%) worden belegd in aandelen, obligaties en dergelijke. Je kunt</w:t>
      </w:r>
      <w:r w:rsidR="00AB7D03" w:rsidRPr="00AB7D03">
        <w:rPr>
          <w:rFonts w:ascii="QuadraatSans-Regular" w:eastAsia="MS Mincho" w:hAnsi="QuadraatSans-Regular"/>
          <w:sz w:val="20"/>
          <w:szCs w:val="24"/>
          <w:lang w:eastAsia="nl-NL"/>
        </w:rPr>
        <w:t xml:space="preserve"> daarmee uitrekenen dat het gewogen gemiddelde rendement in deze schijf 1,8% bedraagt. Naarmate het vermogen toeneemt en terechtkomt in schijf 2 en 3, ligt de nadruk sterker op beleggen in aandelen en obligaties, waardoor het gemiddelde fictieve rendement hoger is.</w:t>
      </w:r>
    </w:p>
    <w:bookmarkEnd w:id="1"/>
    <w:p w:rsidR="00AB7D03" w:rsidRPr="00AB7D03" w:rsidRDefault="00220EC5" w:rsidP="00AB7D03">
      <w:pPr>
        <w:suppressAutoHyphens/>
        <w:ind w:left="360" w:hanging="360"/>
        <w:contextualSpacing/>
        <w:jc w:val="both"/>
        <w:rPr>
          <w:rFonts w:ascii="QuadraatSans-Regular" w:eastAsia="MS Mincho" w:hAnsi="QuadraatSans-Regular"/>
          <w:sz w:val="20"/>
          <w:szCs w:val="24"/>
          <w:lang w:eastAsia="nl-NL"/>
        </w:rPr>
      </w:pPr>
      <w:r>
        <w:rPr>
          <w:rFonts w:ascii="QuadraatSans-Regular" w:eastAsia="MS Mincho" w:hAnsi="QuadraatSans-Regular"/>
          <w:sz w:val="20"/>
          <w:szCs w:val="24"/>
          <w:lang w:eastAsia="nl-NL"/>
        </w:rPr>
        <w:t>-</w:t>
      </w:r>
      <w:r>
        <w:rPr>
          <w:rFonts w:ascii="QuadraatSans-Regular" w:eastAsia="MS Mincho" w:hAnsi="QuadraatSans-Regular"/>
          <w:sz w:val="20"/>
          <w:szCs w:val="24"/>
          <w:lang w:eastAsia="nl-NL"/>
        </w:rPr>
        <w:tab/>
      </w:r>
      <w:r w:rsidR="00AB7D03" w:rsidRPr="00AB7D03">
        <w:rPr>
          <w:rFonts w:ascii="QuadraatSans-Regular" w:eastAsia="MS Mincho" w:hAnsi="QuadraatSans-Regular"/>
          <w:sz w:val="20"/>
          <w:szCs w:val="24"/>
          <w:lang w:eastAsia="nl-NL"/>
        </w:rPr>
        <w:t>Voor de berekening van de te betalen vermogensrendementsheffing wordt gekeken naar het vermogen op 1 januari.</w:t>
      </w:r>
    </w:p>
    <w:p w:rsidR="004D5620" w:rsidRPr="004D5620" w:rsidRDefault="004D5620" w:rsidP="004D5620">
      <w:pPr>
        <w:rPr>
          <w:szCs w:val="20"/>
        </w:rPr>
      </w:pPr>
    </w:p>
    <w:p w:rsidR="004D5620" w:rsidRPr="004D5620" w:rsidRDefault="004D5620" w:rsidP="004D5620">
      <w:pPr>
        <w:ind w:left="426" w:hanging="426"/>
        <w:rPr>
          <w:rFonts w:eastAsia="Times New Roman" w:cs="Calibri"/>
          <w:lang w:eastAsia="nl-NL"/>
        </w:rPr>
      </w:pPr>
      <w:r w:rsidRPr="004D5620">
        <w:rPr>
          <w:rFonts w:eastAsia="Times New Roman" w:cs="Calibri"/>
          <w:lang w:eastAsia="nl-NL"/>
        </w:rPr>
        <w:t>Bereken de vermogensrendementsheffing die Alex verschuldigd is op 1 januari 20</w:t>
      </w:r>
      <w:r w:rsidR="00220EC5">
        <w:rPr>
          <w:rFonts w:eastAsia="Times New Roman" w:cs="Calibri"/>
          <w:lang w:eastAsia="nl-NL"/>
        </w:rPr>
        <w:t>20</w:t>
      </w:r>
      <w:r w:rsidRPr="004D5620">
        <w:rPr>
          <w:rFonts w:eastAsia="Times New Roman" w:cs="Calibri"/>
          <w:lang w:eastAsia="nl-NL"/>
        </w:rPr>
        <w:t>.</w:t>
      </w:r>
    </w:p>
    <w:p w:rsidR="008E535F" w:rsidRDefault="008E535F">
      <w:pPr>
        <w:spacing w:after="200" w:line="276" w:lineRule="auto"/>
        <w:rPr>
          <w:b/>
        </w:rPr>
      </w:pPr>
      <w:r>
        <w:rPr>
          <w:b/>
        </w:rPr>
        <w:br w:type="page"/>
      </w:r>
    </w:p>
    <w:p w:rsidR="008C5E72" w:rsidRPr="009243B5" w:rsidRDefault="008C5E72" w:rsidP="008C5E72">
      <w:pPr>
        <w:rPr>
          <w:b/>
        </w:rPr>
      </w:pPr>
      <w:r w:rsidRPr="009243B5">
        <w:rPr>
          <w:b/>
        </w:rPr>
        <w:lastRenderedPageBreak/>
        <w:t xml:space="preserve">Uitwerking opgave </w:t>
      </w:r>
      <w:r w:rsidR="00FC5C47">
        <w:rPr>
          <w:b/>
        </w:rPr>
        <w:t>5</w:t>
      </w:r>
      <w:r w:rsidRPr="009243B5">
        <w:rPr>
          <w:b/>
        </w:rPr>
        <w:t>.1</w:t>
      </w:r>
    </w:p>
    <w:p w:rsidR="008C5E72" w:rsidRDefault="008C5E72" w:rsidP="008C5E72">
      <w:pPr>
        <w:ind w:left="426" w:hanging="426"/>
      </w:pPr>
      <w:r>
        <w:t>a.</w:t>
      </w:r>
      <w:r>
        <w:tab/>
        <w:t xml:space="preserve">Reële rente = (105,3/101,4) </w:t>
      </w:r>
      <w:r w:rsidRPr="003F049F">
        <w:rPr>
          <w:rFonts w:cs="Calibri"/>
        </w:rPr>
        <w:t>×</w:t>
      </w:r>
      <w:r>
        <w:t xml:space="preserve"> 100 = 103,85 </w:t>
      </w:r>
      <w:r w:rsidRPr="003F049F">
        <w:rPr>
          <w:rFonts w:cs="Calibri"/>
        </w:rPr>
        <w:t>–</w:t>
      </w:r>
      <w:r>
        <w:t xml:space="preserve"> 100 = 3,85%.</w:t>
      </w:r>
    </w:p>
    <w:p w:rsidR="008C5E72" w:rsidRDefault="008C5E72" w:rsidP="008C5E72">
      <w:pPr>
        <w:ind w:left="426" w:hanging="426"/>
      </w:pPr>
      <w:r>
        <w:t>b.</w:t>
      </w:r>
      <w:r>
        <w:tab/>
        <w:t>In 201</w:t>
      </w:r>
      <w:r w:rsidR="00FC5C47">
        <w:t>6</w:t>
      </w:r>
      <w:r>
        <w:t xml:space="preserve">. De reële rente is dan (104,9/103,2) </w:t>
      </w:r>
      <w:r w:rsidRPr="003F049F">
        <w:rPr>
          <w:rFonts w:cs="Calibri"/>
        </w:rPr>
        <w:t>×</w:t>
      </w:r>
      <w:r>
        <w:t xml:space="preserve"> 100 </w:t>
      </w:r>
      <w:r w:rsidRPr="003F049F">
        <w:rPr>
          <w:rFonts w:cs="Calibri"/>
        </w:rPr>
        <w:t>–</w:t>
      </w:r>
      <w:r>
        <w:t xml:space="preserve"> 100 = 1,65%.</w:t>
      </w:r>
    </w:p>
    <w:p w:rsidR="008C5E72" w:rsidRDefault="008C5E72" w:rsidP="008C5E72">
      <w:pPr>
        <w:ind w:left="426" w:hanging="426"/>
      </w:pPr>
      <w:r>
        <w:t>c.</w:t>
      </w:r>
      <w:r>
        <w:tab/>
        <w:t>Het risico van wanbetaling neemt toe naarmate de tijd langer wordt. Daarom wordt boven op de basisrente een risicopremie berekend die toeneemt naarmate het tijdspad langer is.</w:t>
      </w:r>
    </w:p>
    <w:p w:rsidR="008C5E72" w:rsidRDefault="008C5E72" w:rsidP="008C5E72">
      <w:pPr>
        <w:ind w:left="426" w:hanging="426"/>
      </w:pPr>
      <w:r>
        <w:t>d.</w:t>
      </w:r>
      <w:r>
        <w:tab/>
        <w:t>Afnemen. De zin waaruit dit blijkt is: ‘Ook inflatie…. aan de inflatie.</w:t>
      </w:r>
    </w:p>
    <w:p w:rsidR="008C5E72" w:rsidRDefault="008C5E72" w:rsidP="008C5E72">
      <w:pPr>
        <w:ind w:left="426" w:hanging="426"/>
      </w:pPr>
      <w:r>
        <w:t>e.</w:t>
      </w:r>
      <w:r>
        <w:tab/>
        <w:t>Bij toename van het inkomen kan een hoger (marginaal) belastingtarief van toepassing worden en dus ontvangen zij van het rentebedrag een groter deel terug.</w:t>
      </w:r>
    </w:p>
    <w:p w:rsidR="008C5E72" w:rsidRDefault="008C5E72" w:rsidP="008C5E72">
      <w:pPr>
        <w:ind w:left="426" w:hanging="426"/>
      </w:pPr>
      <w:r>
        <w:t>f.</w:t>
      </w:r>
      <w:r>
        <w:tab/>
        <w:t>Als de inflatie hoger is dan de nominale rente.</w:t>
      </w:r>
    </w:p>
    <w:p w:rsidR="008C5E72" w:rsidRDefault="008C5E72" w:rsidP="008C5E72">
      <w:pPr>
        <w:ind w:left="426" w:hanging="426"/>
      </w:pPr>
      <w:r>
        <w:t>g.</w:t>
      </w:r>
      <w:r>
        <w:tab/>
        <w:t xml:space="preserve">300.000 </w:t>
      </w:r>
      <w:r w:rsidRPr="003F049F">
        <w:rPr>
          <w:rFonts w:cs="Calibri"/>
        </w:rPr>
        <w:t>×</w:t>
      </w:r>
      <w:r>
        <w:t xml:space="preserve"> 1,022</w:t>
      </w:r>
      <w:r>
        <w:rPr>
          <w:vertAlign w:val="superscript"/>
        </w:rPr>
        <w:t>5</w:t>
      </w:r>
      <w:r>
        <w:t xml:space="preserve"> = € 334.484,30.</w:t>
      </w:r>
    </w:p>
    <w:p w:rsidR="008C5E72" w:rsidRDefault="008C5E72" w:rsidP="008C5E72">
      <w:pPr>
        <w:ind w:left="426" w:hanging="426"/>
      </w:pPr>
      <w:r>
        <w:t>h.</w:t>
      </w:r>
      <w:r>
        <w:tab/>
        <w:t>De inflatie heeft geen invloed op de hypotheekschuld zodat het verschil tussen de waarde van het huis en de hypotheekschuld ( = vermogen) zal toenemen.</w:t>
      </w:r>
    </w:p>
    <w:p w:rsidR="008C5E72" w:rsidRDefault="008C5E72"/>
    <w:p w:rsidR="008C5E72" w:rsidRDefault="008C5E72"/>
    <w:p w:rsidR="004D5620" w:rsidRPr="00997BA5" w:rsidRDefault="004D5620" w:rsidP="004D5620">
      <w:pPr>
        <w:rPr>
          <w:rFonts w:asciiTheme="minorHAnsi" w:eastAsia="Times New Roman" w:hAnsiTheme="minorHAnsi" w:cstheme="minorHAnsi"/>
          <w:b/>
          <w:lang w:eastAsia="nl-NL"/>
        </w:rPr>
      </w:pPr>
      <w:r>
        <w:rPr>
          <w:rFonts w:asciiTheme="minorHAnsi" w:eastAsia="Times New Roman" w:hAnsiTheme="minorHAnsi" w:cstheme="minorHAnsi"/>
          <w:b/>
          <w:lang w:eastAsia="nl-NL"/>
        </w:rPr>
        <w:t xml:space="preserve">Uitwerking opdracht </w:t>
      </w:r>
      <w:r w:rsidR="00FC5C47">
        <w:rPr>
          <w:rFonts w:asciiTheme="minorHAnsi" w:eastAsia="Times New Roman" w:hAnsiTheme="minorHAnsi" w:cstheme="minorHAnsi"/>
          <w:b/>
          <w:lang w:eastAsia="nl-NL"/>
        </w:rPr>
        <w:t>5</w:t>
      </w:r>
      <w:r>
        <w:rPr>
          <w:rFonts w:asciiTheme="minorHAnsi" w:eastAsia="Times New Roman" w:hAnsiTheme="minorHAnsi" w:cstheme="minorHAnsi"/>
          <w:b/>
          <w:lang w:eastAsia="nl-NL"/>
        </w:rPr>
        <w:t>.2</w:t>
      </w:r>
    </w:p>
    <w:p w:rsidR="004D5620" w:rsidRPr="00C22EFA" w:rsidRDefault="004D5620" w:rsidP="004D5620">
      <w:pPr>
        <w:rPr>
          <w:rFonts w:asciiTheme="minorHAnsi" w:eastAsia="Times New Roman" w:hAnsiTheme="minorHAnsi" w:cstheme="minorHAnsi"/>
          <w:lang w:eastAsia="nl-NL"/>
        </w:rPr>
      </w:pPr>
      <w:r w:rsidRPr="00C22EFA">
        <w:rPr>
          <w:rFonts w:asciiTheme="minorHAnsi" w:eastAsia="Times New Roman" w:hAnsiTheme="minorHAnsi" w:cstheme="minorHAnsi"/>
          <w:lang w:eastAsia="nl-NL"/>
        </w:rPr>
        <w:t>Bij</w:t>
      </w:r>
      <w:r>
        <w:rPr>
          <w:rFonts w:asciiTheme="minorHAnsi" w:eastAsia="Times New Roman" w:hAnsiTheme="minorHAnsi" w:cstheme="minorHAnsi"/>
          <w:lang w:eastAsia="nl-NL"/>
        </w:rPr>
        <w:t xml:space="preserve"> Imke is er sprake van ruilen over de tijd (intertemporele ruil) omdat zij gaat sparen voor de reis: zij stelt hiermee haar consumptie uit. Bij Eva </w:t>
      </w:r>
      <w:r w:rsidRPr="00C22EFA">
        <w:rPr>
          <w:rFonts w:asciiTheme="minorHAnsi" w:eastAsia="Times New Roman" w:hAnsiTheme="minorHAnsi" w:cstheme="minorHAnsi"/>
          <w:lang w:eastAsia="nl-NL"/>
        </w:rPr>
        <w:t xml:space="preserve">is </w:t>
      </w:r>
      <w:r>
        <w:rPr>
          <w:rFonts w:asciiTheme="minorHAnsi" w:eastAsia="Times New Roman" w:hAnsiTheme="minorHAnsi" w:cstheme="minorHAnsi"/>
          <w:lang w:eastAsia="nl-NL"/>
        </w:rPr>
        <w:t xml:space="preserve">er ook </w:t>
      </w:r>
      <w:r w:rsidRPr="00C22EFA">
        <w:rPr>
          <w:rFonts w:asciiTheme="minorHAnsi" w:eastAsia="Times New Roman" w:hAnsiTheme="minorHAnsi" w:cstheme="minorHAnsi"/>
          <w:lang w:eastAsia="nl-NL"/>
        </w:rPr>
        <w:t xml:space="preserve">sprake van </w:t>
      </w:r>
      <w:r>
        <w:rPr>
          <w:rFonts w:asciiTheme="minorHAnsi" w:eastAsia="Times New Roman" w:hAnsiTheme="minorHAnsi" w:cstheme="minorHAnsi"/>
          <w:lang w:eastAsia="nl-NL"/>
        </w:rPr>
        <w:t>ruilen over de tijd</w:t>
      </w:r>
      <w:r w:rsidRPr="00C22EFA">
        <w:rPr>
          <w:rFonts w:asciiTheme="minorHAnsi" w:eastAsia="Times New Roman" w:hAnsiTheme="minorHAnsi" w:cstheme="minorHAnsi"/>
          <w:lang w:eastAsia="nl-NL"/>
        </w:rPr>
        <w:t xml:space="preserve">, omdat </w:t>
      </w:r>
      <w:r>
        <w:rPr>
          <w:rFonts w:asciiTheme="minorHAnsi" w:eastAsia="Times New Roman" w:hAnsiTheme="minorHAnsi" w:cstheme="minorHAnsi"/>
          <w:lang w:eastAsia="nl-NL"/>
        </w:rPr>
        <w:t xml:space="preserve">zij </w:t>
      </w:r>
      <w:r w:rsidRPr="00C22EFA">
        <w:rPr>
          <w:rFonts w:asciiTheme="minorHAnsi" w:eastAsia="Times New Roman" w:hAnsiTheme="minorHAnsi" w:cstheme="minorHAnsi"/>
          <w:lang w:eastAsia="nl-NL"/>
        </w:rPr>
        <w:t>het moment van consumptie vervroegt</w:t>
      </w:r>
      <w:r>
        <w:rPr>
          <w:rFonts w:asciiTheme="minorHAnsi" w:eastAsia="Times New Roman" w:hAnsiTheme="minorHAnsi" w:cstheme="minorHAnsi"/>
          <w:lang w:eastAsia="nl-NL"/>
        </w:rPr>
        <w:t xml:space="preserve"> door te lenen voor haar studie. </w:t>
      </w:r>
    </w:p>
    <w:p w:rsidR="008C5E72" w:rsidRDefault="008C5E72"/>
    <w:p w:rsidR="004D5620" w:rsidRDefault="004D5620" w:rsidP="004D5620">
      <w:pPr>
        <w:rPr>
          <w:b/>
        </w:rPr>
      </w:pPr>
    </w:p>
    <w:p w:rsidR="004D5620" w:rsidRDefault="004D5620" w:rsidP="004D5620">
      <w:pPr>
        <w:rPr>
          <w:b/>
        </w:rPr>
      </w:pPr>
      <w:r w:rsidRPr="00F35AAB">
        <w:rPr>
          <w:b/>
        </w:rPr>
        <w:t xml:space="preserve">Uitwerking opdracht </w:t>
      </w:r>
      <w:r w:rsidR="00FC5C47">
        <w:rPr>
          <w:b/>
        </w:rPr>
        <w:t>5.3</w:t>
      </w:r>
    </w:p>
    <w:p w:rsidR="004D5620" w:rsidRDefault="004D5620" w:rsidP="004D5620">
      <w:pPr>
        <w:ind w:left="426" w:hanging="426"/>
      </w:pPr>
      <w:r>
        <w:t>Vermogen</w:t>
      </w:r>
      <w:r>
        <w:tab/>
        <w:t>€ 120.000</w:t>
      </w:r>
    </w:p>
    <w:p w:rsidR="004D5620" w:rsidRDefault="004D5620" w:rsidP="004D5620">
      <w:pPr>
        <w:ind w:left="426" w:hanging="426"/>
      </w:pPr>
      <w:r>
        <w:t>-Vrijstelling</w:t>
      </w:r>
      <w:r>
        <w:tab/>
      </w:r>
      <w:r w:rsidRPr="00522748">
        <w:rPr>
          <w:u w:val="single"/>
        </w:rPr>
        <w:t>€   30.</w:t>
      </w:r>
      <w:r w:rsidR="00220EC5">
        <w:rPr>
          <w:u w:val="single"/>
        </w:rPr>
        <w:t>846</w:t>
      </w:r>
    </w:p>
    <w:p w:rsidR="004D5620" w:rsidRDefault="004D5620" w:rsidP="004D5620">
      <w:pPr>
        <w:ind w:left="426" w:hanging="426"/>
      </w:pPr>
      <w:r>
        <w:t>Belastbaar</w:t>
      </w:r>
      <w:r>
        <w:tab/>
        <w:t>€   89.</w:t>
      </w:r>
      <w:r w:rsidR="00220EC5">
        <w:t>154</w:t>
      </w:r>
    </w:p>
    <w:p w:rsidR="004D5620" w:rsidRDefault="004D5620" w:rsidP="004D5620">
      <w:pPr>
        <w:ind w:left="426" w:hanging="426"/>
      </w:pPr>
      <w:r>
        <w:t>-Schijf 1</w:t>
      </w:r>
      <w:r>
        <w:tab/>
      </w:r>
      <w:r w:rsidRPr="00522748">
        <w:rPr>
          <w:u w:val="single"/>
        </w:rPr>
        <w:t xml:space="preserve">€  </w:t>
      </w:r>
      <w:r w:rsidR="00220EC5">
        <w:rPr>
          <w:u w:val="single"/>
        </w:rPr>
        <w:t xml:space="preserve"> </w:t>
      </w:r>
      <w:r w:rsidRPr="004803A1">
        <w:rPr>
          <w:u w:val="single"/>
        </w:rPr>
        <w:t>7</w:t>
      </w:r>
      <w:r w:rsidR="00220EC5">
        <w:rPr>
          <w:u w:val="single"/>
        </w:rPr>
        <w:t>2</w:t>
      </w:r>
      <w:r w:rsidRPr="004803A1">
        <w:rPr>
          <w:u w:val="single"/>
        </w:rPr>
        <w:t>.</w:t>
      </w:r>
      <w:r w:rsidR="00220EC5">
        <w:rPr>
          <w:u w:val="single"/>
        </w:rPr>
        <w:t>797</w:t>
      </w:r>
      <w:r>
        <w:t xml:space="preserve"> × </w:t>
      </w:r>
      <w:r w:rsidRPr="00AC427D">
        <w:rPr>
          <w:szCs w:val="20"/>
        </w:rPr>
        <w:t>1,</w:t>
      </w:r>
      <w:r w:rsidR="00220EC5">
        <w:rPr>
          <w:szCs w:val="20"/>
        </w:rPr>
        <w:t>80</w:t>
      </w:r>
      <w:r>
        <w:t>% =</w:t>
      </w:r>
      <w:r>
        <w:tab/>
        <w:t>€ 1.3</w:t>
      </w:r>
      <w:r w:rsidR="00220EC5">
        <w:t>10</w:t>
      </w:r>
    </w:p>
    <w:p w:rsidR="004D5620" w:rsidRDefault="004D5620" w:rsidP="004D5620">
      <w:pPr>
        <w:ind w:left="426" w:hanging="426"/>
        <w:rPr>
          <w:u w:val="single"/>
        </w:rPr>
      </w:pPr>
      <w:r>
        <w:t>Schijf 2</w:t>
      </w:r>
      <w:r>
        <w:tab/>
      </w:r>
      <w:r>
        <w:tab/>
        <w:t xml:space="preserve">€ </w:t>
      </w:r>
      <w:r w:rsidR="00220EC5">
        <w:t xml:space="preserve">  </w:t>
      </w:r>
      <w:r>
        <w:t>1</w:t>
      </w:r>
      <w:r w:rsidR="00220EC5">
        <w:t>6</w:t>
      </w:r>
      <w:r>
        <w:t>.</w:t>
      </w:r>
      <w:r w:rsidR="00220EC5">
        <w:t>357</w:t>
      </w:r>
      <w:r>
        <w:t xml:space="preserve"> × </w:t>
      </w:r>
      <w:r w:rsidRPr="004803A1">
        <w:t>4,</w:t>
      </w:r>
      <w:r w:rsidR="00220EC5">
        <w:t>22</w:t>
      </w:r>
      <w:r>
        <w:t>% =</w:t>
      </w:r>
      <w:r>
        <w:tab/>
      </w:r>
      <w:r w:rsidRPr="00522748">
        <w:rPr>
          <w:u w:val="single"/>
        </w:rPr>
        <w:t xml:space="preserve">€    </w:t>
      </w:r>
      <w:r w:rsidR="00220EC5">
        <w:rPr>
          <w:u w:val="single"/>
        </w:rPr>
        <w:t>69</w:t>
      </w:r>
      <w:r>
        <w:rPr>
          <w:u w:val="single"/>
        </w:rPr>
        <w:t>0</w:t>
      </w:r>
    </w:p>
    <w:p w:rsidR="000A3F3E" w:rsidRDefault="004D5620" w:rsidP="00B6027F">
      <w:r>
        <w:t>Fictieve rendement</w:t>
      </w:r>
      <w:r>
        <w:tab/>
      </w:r>
      <w:r>
        <w:tab/>
      </w:r>
      <w:r>
        <w:tab/>
        <w:t>€ 2.</w:t>
      </w:r>
      <w:r w:rsidR="00220EC5">
        <w:t xml:space="preserve">000  </w:t>
      </w:r>
    </w:p>
    <w:p w:rsidR="004D5620" w:rsidRPr="00DC677F" w:rsidRDefault="004D5620" w:rsidP="001A0955">
      <w:r>
        <w:t>Heffingstarief</w:t>
      </w:r>
      <w:r>
        <w:tab/>
      </w:r>
      <w:r>
        <w:tab/>
      </w:r>
      <w:r>
        <w:tab/>
      </w:r>
      <w:r>
        <w:tab/>
        <w:t xml:space="preserve">  </w:t>
      </w:r>
      <w:r w:rsidRPr="00EB03C6">
        <w:rPr>
          <w:u w:val="single"/>
        </w:rPr>
        <w:t>× 30%</w:t>
      </w:r>
      <w:r w:rsidRPr="00DC677F">
        <w:t xml:space="preserve"> </w:t>
      </w:r>
    </w:p>
    <w:p w:rsidR="000A3F3E" w:rsidRDefault="004D5620" w:rsidP="00B6027F">
      <w:r>
        <w:t>VRH</w:t>
      </w:r>
      <w:r>
        <w:tab/>
      </w:r>
      <w:r>
        <w:tab/>
      </w:r>
      <w:r>
        <w:tab/>
      </w:r>
      <w:r>
        <w:tab/>
      </w:r>
      <w:r>
        <w:tab/>
        <w:t>€    6</w:t>
      </w:r>
      <w:r w:rsidR="00220EC5">
        <w:t>00</w:t>
      </w:r>
    </w:p>
    <w:p w:rsidR="008C5E72" w:rsidRDefault="008C5E72"/>
    <w:sectPr w:rsidR="008C5E72" w:rsidSect="00527886">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39D" w:rsidRDefault="00AA439D" w:rsidP="00B6027F">
      <w:r>
        <w:separator/>
      </w:r>
    </w:p>
  </w:endnote>
  <w:endnote w:type="continuationSeparator" w:id="0">
    <w:p w:rsidR="00AA439D" w:rsidRDefault="00AA439D" w:rsidP="00B6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QuadraatSans-Regular">
    <w:altName w:val="Centaur"/>
    <w:panose1 w:val="02010504050101020103"/>
    <w:charset w:val="00"/>
    <w:family w:val="auto"/>
    <w:pitch w:val="variable"/>
    <w:sig w:usb0="8000002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 w:name="QuadraatSans-Italic">
    <w:altName w:val="Centaur"/>
    <w:panose1 w:val="02010504040101020104"/>
    <w:charset w:val="00"/>
    <w:family w:val="auto"/>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39D" w:rsidRDefault="00AA439D" w:rsidP="00B6027F">
      <w:r>
        <w:separator/>
      </w:r>
    </w:p>
  </w:footnote>
  <w:footnote w:type="continuationSeparator" w:id="0">
    <w:p w:rsidR="00AA439D" w:rsidRDefault="00AA439D" w:rsidP="00B60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3731298"/>
      <w:docPartObj>
        <w:docPartGallery w:val="Page Numbers (Top of Page)"/>
        <w:docPartUnique/>
      </w:docPartObj>
    </w:sdtPr>
    <w:sdtEndPr>
      <w:rPr>
        <w:rFonts w:ascii="Arial" w:hAnsi="Arial" w:cs="Arial"/>
        <w:sz w:val="16"/>
        <w:szCs w:val="16"/>
      </w:rPr>
    </w:sdtEndPr>
    <w:sdtContent>
      <w:p w:rsidR="00B6027F" w:rsidRPr="00C73D1B" w:rsidRDefault="00B6027F" w:rsidP="00B6027F">
        <w:pPr>
          <w:pStyle w:val="Koptekst"/>
          <w:jc w:val="right"/>
          <w:rPr>
            <w:rFonts w:ascii="Arial" w:hAnsi="Arial" w:cs="Arial"/>
            <w:sz w:val="16"/>
            <w:szCs w:val="16"/>
          </w:rPr>
        </w:pPr>
        <w:r>
          <w:rPr>
            <w:noProof/>
            <w:sz w:val="20"/>
            <w:szCs w:val="20"/>
            <w:lang w:eastAsia="nl-NL"/>
          </w:rPr>
          <w:drawing>
            <wp:inline distT="0" distB="0" distL="0" distR="0" wp14:anchorId="32E8C8D7" wp14:editId="276DAC76">
              <wp:extent cx="342900" cy="342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BE1329">
          <w:rPr>
            <w:rFonts w:ascii="Arial" w:hAnsi="Arial" w:cs="Arial"/>
            <w:sz w:val="16"/>
            <w:szCs w:val="16"/>
          </w:rPr>
          <w:t xml:space="preserve"> </w:t>
        </w:r>
        <w:r>
          <w:rPr>
            <w:rFonts w:ascii="Arial" w:hAnsi="Arial" w:cs="Arial"/>
            <w:sz w:val="16"/>
            <w:szCs w:val="16"/>
          </w:rPr>
          <w:t>Levensloop</w:t>
        </w:r>
        <w:r w:rsidRPr="00BE1329">
          <w:rPr>
            <w:rFonts w:ascii="Arial" w:hAnsi="Arial" w:cs="Arial"/>
            <w:sz w:val="16"/>
            <w:szCs w:val="16"/>
          </w:rPr>
          <w:t xml:space="preserve"> h</w:t>
        </w:r>
        <w:r>
          <w:rPr>
            <w:rFonts w:ascii="Arial" w:hAnsi="Arial" w:cs="Arial"/>
            <w:sz w:val="16"/>
            <w:szCs w:val="16"/>
          </w:rPr>
          <w:t>oofdstuk 5</w:t>
        </w:r>
        <w:r w:rsidRPr="00BE1329">
          <w:rPr>
            <w:rFonts w:ascii="Arial" w:hAnsi="Arial" w:cs="Arial"/>
            <w:sz w:val="16"/>
            <w:szCs w:val="16"/>
          </w:rPr>
          <w:t xml:space="preserve"> extra oefenopgaven (website)</w:t>
        </w:r>
        <w:r>
          <w:rPr>
            <w:rFonts w:ascii="Arial" w:hAnsi="Arial" w:cs="Arial"/>
            <w:sz w:val="16"/>
            <w:szCs w:val="16"/>
          </w:rPr>
          <w:tab/>
        </w:r>
        <w:r>
          <w:rPr>
            <w:rFonts w:ascii="Arial" w:hAnsi="Arial" w:cs="Arial"/>
            <w:sz w:val="16"/>
            <w:szCs w:val="16"/>
          </w:rPr>
          <w:tab/>
        </w:r>
        <w:r w:rsidRPr="00D6173D">
          <w:rPr>
            <w:rFonts w:ascii="Arial" w:hAnsi="Arial" w:cs="Arial"/>
            <w:sz w:val="16"/>
            <w:szCs w:val="16"/>
          </w:rPr>
          <w:fldChar w:fldCharType="begin"/>
        </w:r>
        <w:r w:rsidRPr="00D6173D">
          <w:rPr>
            <w:rFonts w:ascii="Arial" w:hAnsi="Arial" w:cs="Arial"/>
            <w:sz w:val="16"/>
            <w:szCs w:val="16"/>
          </w:rPr>
          <w:instrText>PAGE   \* MERGEFORMAT</w:instrText>
        </w:r>
        <w:r w:rsidRPr="00D6173D">
          <w:rPr>
            <w:rFonts w:ascii="Arial" w:hAnsi="Arial" w:cs="Arial"/>
            <w:sz w:val="16"/>
            <w:szCs w:val="16"/>
          </w:rPr>
          <w:fldChar w:fldCharType="separate"/>
        </w:r>
        <w:r>
          <w:rPr>
            <w:rFonts w:ascii="Arial" w:hAnsi="Arial" w:cs="Arial"/>
            <w:noProof/>
            <w:sz w:val="16"/>
            <w:szCs w:val="16"/>
          </w:rPr>
          <w:t>1</w:t>
        </w:r>
        <w:r w:rsidRPr="00D6173D">
          <w:rPr>
            <w:rFonts w:ascii="Arial" w:hAnsi="Arial" w:cs="Arial"/>
            <w:sz w:val="16"/>
            <w:szCs w:val="16"/>
          </w:rPr>
          <w:fldChar w:fldCharType="end"/>
        </w:r>
      </w:p>
    </w:sdtContent>
  </w:sdt>
  <w:p w:rsidR="00B6027F" w:rsidRDefault="00B6027F">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120"/>
    <w:rsid w:val="000A3F3E"/>
    <w:rsid w:val="001A0955"/>
    <w:rsid w:val="00220EC5"/>
    <w:rsid w:val="00466C29"/>
    <w:rsid w:val="004A3D53"/>
    <w:rsid w:val="004D5620"/>
    <w:rsid w:val="004E712B"/>
    <w:rsid w:val="00527886"/>
    <w:rsid w:val="008C5E72"/>
    <w:rsid w:val="008E535F"/>
    <w:rsid w:val="00AA439D"/>
    <w:rsid w:val="00AB7D03"/>
    <w:rsid w:val="00B6027F"/>
    <w:rsid w:val="00EA3EFB"/>
    <w:rsid w:val="00FC5C47"/>
    <w:rsid w:val="00FE01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D787E7-F8A2-4EDD-AC28-D24C1E761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C5E72"/>
    <w:pPr>
      <w:spacing w:after="0" w:line="240"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D5620"/>
    <w:pPr>
      <w:spacing w:after="0" w:line="240" w:lineRule="auto"/>
    </w:pPr>
    <w:rPr>
      <w:rFonts w:ascii="Times New Roman" w:eastAsia="MS Mincho" w:hAnsi="Times New Roman" w:cs="Times New Roman"/>
      <w:sz w:val="20"/>
      <w:szCs w:val="20"/>
      <w:lang w:eastAsia="nl-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ntekst">
    <w:name w:val="Balloon Text"/>
    <w:basedOn w:val="Standaard"/>
    <w:link w:val="BallontekstChar"/>
    <w:uiPriority w:val="99"/>
    <w:semiHidden/>
    <w:unhideWhenUsed/>
    <w:rsid w:val="00FC5C47"/>
    <w:rPr>
      <w:rFonts w:ascii="Tahoma" w:hAnsi="Tahoma" w:cs="Tahoma"/>
      <w:sz w:val="16"/>
      <w:szCs w:val="16"/>
    </w:rPr>
  </w:style>
  <w:style w:type="character" w:customStyle="1" w:styleId="BallontekstChar">
    <w:name w:val="Ballontekst Char"/>
    <w:basedOn w:val="Standaardalinea-lettertype"/>
    <w:link w:val="Ballontekst"/>
    <w:uiPriority w:val="99"/>
    <w:semiHidden/>
    <w:rsid w:val="00FC5C47"/>
    <w:rPr>
      <w:rFonts w:ascii="Tahoma" w:eastAsia="Calibri" w:hAnsi="Tahoma" w:cs="Tahoma"/>
      <w:sz w:val="16"/>
      <w:szCs w:val="16"/>
    </w:rPr>
  </w:style>
  <w:style w:type="table" w:customStyle="1" w:styleId="Tabelraster1">
    <w:name w:val="Tabelraster1"/>
    <w:basedOn w:val="Standaardtabel"/>
    <w:next w:val="Tabelraster"/>
    <w:rsid w:val="00AB7D03"/>
    <w:pPr>
      <w:spacing w:after="0" w:line="240" w:lineRule="auto"/>
    </w:pPr>
    <w:rPr>
      <w:rFonts w:ascii="Times New Roman" w:eastAsia="MS Mincho" w:hAnsi="Times New Roman" w:cs="Times New Roman"/>
      <w:sz w:val="20"/>
      <w:szCs w:val="20"/>
      <w:lang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erwijzingopmerking">
    <w:name w:val="annotation reference"/>
    <w:basedOn w:val="Standaardalinea-lettertype"/>
    <w:uiPriority w:val="99"/>
    <w:rsid w:val="00AB7D03"/>
    <w:rPr>
      <w:sz w:val="16"/>
      <w:szCs w:val="16"/>
    </w:rPr>
  </w:style>
  <w:style w:type="paragraph" w:styleId="Tekstopmerking">
    <w:name w:val="annotation text"/>
    <w:basedOn w:val="Standaard"/>
    <w:link w:val="TekstopmerkingChar"/>
    <w:uiPriority w:val="99"/>
    <w:rsid w:val="00AB7D03"/>
    <w:pPr>
      <w:suppressAutoHyphens/>
      <w:jc w:val="both"/>
    </w:pPr>
    <w:rPr>
      <w:rFonts w:ascii="QuadraatSans-Regular" w:eastAsia="MS Mincho" w:hAnsi="QuadraatSans-Regular"/>
      <w:sz w:val="20"/>
      <w:szCs w:val="20"/>
      <w:lang w:eastAsia="nl-NL"/>
    </w:rPr>
  </w:style>
  <w:style w:type="character" w:customStyle="1" w:styleId="TekstopmerkingChar">
    <w:name w:val="Tekst opmerking Char"/>
    <w:basedOn w:val="Standaardalinea-lettertype"/>
    <w:link w:val="Tekstopmerking"/>
    <w:uiPriority w:val="99"/>
    <w:rsid w:val="00AB7D03"/>
    <w:rPr>
      <w:rFonts w:ascii="QuadraatSans-Regular" w:eastAsia="MS Mincho" w:hAnsi="QuadraatSans-Regular" w:cs="Times New Roman"/>
      <w:sz w:val="20"/>
      <w:szCs w:val="20"/>
      <w:lang w:eastAsia="nl-NL"/>
    </w:rPr>
  </w:style>
  <w:style w:type="paragraph" w:styleId="Koptekst">
    <w:name w:val="header"/>
    <w:basedOn w:val="Standaard"/>
    <w:link w:val="KoptekstChar"/>
    <w:uiPriority w:val="99"/>
    <w:unhideWhenUsed/>
    <w:rsid w:val="00B6027F"/>
    <w:pPr>
      <w:tabs>
        <w:tab w:val="center" w:pos="4536"/>
        <w:tab w:val="right" w:pos="9072"/>
      </w:tabs>
    </w:pPr>
  </w:style>
  <w:style w:type="character" w:customStyle="1" w:styleId="KoptekstChar">
    <w:name w:val="Koptekst Char"/>
    <w:basedOn w:val="Standaardalinea-lettertype"/>
    <w:link w:val="Koptekst"/>
    <w:uiPriority w:val="99"/>
    <w:rsid w:val="00B6027F"/>
    <w:rPr>
      <w:rFonts w:ascii="Calibri" w:eastAsia="Calibri" w:hAnsi="Calibri" w:cs="Times New Roman"/>
    </w:rPr>
  </w:style>
  <w:style w:type="paragraph" w:styleId="Voettekst">
    <w:name w:val="footer"/>
    <w:basedOn w:val="Standaard"/>
    <w:link w:val="VoettekstChar"/>
    <w:uiPriority w:val="99"/>
    <w:unhideWhenUsed/>
    <w:rsid w:val="00B6027F"/>
    <w:pPr>
      <w:tabs>
        <w:tab w:val="center" w:pos="4536"/>
        <w:tab w:val="right" w:pos="9072"/>
      </w:tabs>
    </w:pPr>
  </w:style>
  <w:style w:type="character" w:customStyle="1" w:styleId="VoettekstChar">
    <w:name w:val="Voettekst Char"/>
    <w:basedOn w:val="Standaardalinea-lettertype"/>
    <w:link w:val="Voettekst"/>
    <w:uiPriority w:val="99"/>
    <w:rsid w:val="00B6027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4780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fransv</dc:creator>
  <cp:lastModifiedBy>LWEO</cp:lastModifiedBy>
  <cp:revision>2</cp:revision>
  <dcterms:created xsi:type="dcterms:W3CDTF">2020-08-06T09:34:00Z</dcterms:created>
  <dcterms:modified xsi:type="dcterms:W3CDTF">2020-08-06T09:34:00Z</dcterms:modified>
</cp:coreProperties>
</file>