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81CD4" w14:textId="77777777" w:rsidR="002A0CBC" w:rsidRPr="005E4A4F" w:rsidRDefault="002A0CBC" w:rsidP="002A0CBC">
      <w:pPr>
        <w:pStyle w:val="Geenafstand"/>
        <w:rPr>
          <w:b/>
          <w:lang w:val="en-GB"/>
        </w:rPr>
      </w:pPr>
      <w:r w:rsidRPr="005E4A4F">
        <w:rPr>
          <w:b/>
          <w:lang w:val="en-GB"/>
        </w:rPr>
        <w:t>Assignment 2.1</w:t>
      </w:r>
    </w:p>
    <w:p w14:paraId="08C6B4FB" w14:textId="77777777" w:rsidR="002A0CBC" w:rsidRPr="005E4A4F" w:rsidRDefault="002A0CBC" w:rsidP="002A0CBC">
      <w:pPr>
        <w:pStyle w:val="Geenafstand"/>
        <w:rPr>
          <w:lang w:val="en-GB"/>
        </w:rPr>
      </w:pPr>
      <w:r w:rsidRPr="005E4A4F">
        <w:rPr>
          <w:lang w:val="en-GB"/>
        </w:rPr>
        <w:t>Imagine the following situation:</w:t>
      </w:r>
    </w:p>
    <w:p w14:paraId="4A19AAFE" w14:textId="77777777" w:rsidR="002A0CBC" w:rsidRPr="005E4A4F" w:rsidRDefault="002A0CBC" w:rsidP="002A0CBC">
      <w:pPr>
        <w:pStyle w:val="Geenafstand"/>
        <w:rPr>
          <w:lang w:val="en-GB"/>
        </w:rPr>
      </w:pPr>
      <w:r w:rsidRPr="005E4A4F">
        <w:rPr>
          <w:lang w:val="en-GB"/>
        </w:rPr>
        <w:t>You work at the information department of an insurance company. In order to recommend a private pension insurance, the following text has been posted on your employer’s website:</w:t>
      </w:r>
    </w:p>
    <w:p w14:paraId="55C1B9C0" w14:textId="77777777" w:rsidR="002A0CBC" w:rsidRPr="005E4A4F" w:rsidRDefault="002A0CBC" w:rsidP="002A0CBC">
      <w:pPr>
        <w:pStyle w:val="Geenafstand"/>
        <w:rPr>
          <w:lang w:val="en-GB"/>
        </w:rPr>
      </w:pPr>
      <w:r w:rsidRPr="005E4A4F">
        <w:rPr>
          <w:lang w:val="en-GB"/>
        </w:rPr>
        <w:t>A good pension is not a superfluous luxury. The government grants persons from the age of 67 years and three months merely an OAP benefit at a minimum level. Moreover, the purchasing power of the OAP benefit is more and more under threat.</w:t>
      </w:r>
    </w:p>
    <w:p w14:paraId="03FFCEAC" w14:textId="77777777" w:rsidR="002A0CBC" w:rsidRPr="005E4A4F" w:rsidRDefault="002A0CBC" w:rsidP="002A0CBC">
      <w:pPr>
        <w:pStyle w:val="Geenafstand"/>
        <w:rPr>
          <w:lang w:val="en-GB"/>
        </w:rPr>
      </w:pPr>
    </w:p>
    <w:p w14:paraId="07A860BF" w14:textId="77777777" w:rsidR="002A0CBC" w:rsidRPr="005E4A4F" w:rsidRDefault="002A0CBC" w:rsidP="002A0CBC">
      <w:pPr>
        <w:pStyle w:val="Geenafstand"/>
        <w:rPr>
          <w:lang w:val="en-GB"/>
        </w:rPr>
      </w:pPr>
      <w:r w:rsidRPr="005E4A4F">
        <w:rPr>
          <w:lang w:val="en-GB"/>
        </w:rPr>
        <w:t>In an email Ms Hoffer, a potential customer, presents the following questions to you: ‘On your company’s website I read with interest about the pension insurances which you offer. I should like to know more about the vulnerability of the OAP benefit. Are you causing an unnecessary panic or is the OAP benefit really vulnerable? Is it really necessary to take out insurance for a supplementary pension?’</w:t>
      </w:r>
    </w:p>
    <w:p w14:paraId="61944511" w14:textId="77777777" w:rsidR="002A0CBC" w:rsidRPr="005E4A4F" w:rsidRDefault="002A0CBC" w:rsidP="002A0CBC">
      <w:pPr>
        <w:pStyle w:val="Geenafstand"/>
        <w:rPr>
          <w:lang w:val="en-GB"/>
        </w:rPr>
      </w:pPr>
    </w:p>
    <w:p w14:paraId="102A9A89" w14:textId="77777777" w:rsidR="002A0CBC" w:rsidRPr="005E4A4F" w:rsidRDefault="002A0CBC" w:rsidP="002A0CBC">
      <w:pPr>
        <w:pStyle w:val="Geenafstand"/>
        <w:rPr>
          <w:lang w:val="en-GB"/>
        </w:rPr>
      </w:pPr>
      <w:r w:rsidRPr="005E4A4F">
        <w:rPr>
          <w:lang w:val="en-GB"/>
        </w:rPr>
        <w:t>a.</w:t>
      </w:r>
      <w:r w:rsidRPr="005E4A4F">
        <w:rPr>
          <w:lang w:val="en-GB"/>
        </w:rPr>
        <w:tab/>
        <w:t>Explain how the OAP benefits are financed in the Netherlands.</w:t>
      </w:r>
    </w:p>
    <w:p w14:paraId="4D7728D3" w14:textId="77777777" w:rsidR="002A0CBC" w:rsidRPr="005E4A4F" w:rsidRDefault="002A0CBC" w:rsidP="002A0CBC">
      <w:pPr>
        <w:pStyle w:val="Geenafstand"/>
        <w:ind w:left="708" w:hanging="708"/>
        <w:rPr>
          <w:lang w:val="en-GB"/>
        </w:rPr>
      </w:pPr>
      <w:r w:rsidRPr="005E4A4F">
        <w:rPr>
          <w:lang w:val="en-GB"/>
        </w:rPr>
        <w:t>b.</w:t>
      </w:r>
      <w:r w:rsidRPr="005E4A4F">
        <w:rPr>
          <w:lang w:val="en-GB"/>
        </w:rPr>
        <w:tab/>
        <w:t>Explain in what way the ageing of the population poses a threat to OAP benefits in the future.</w:t>
      </w:r>
    </w:p>
    <w:p w14:paraId="6F660330" w14:textId="77777777" w:rsidR="002A0CBC" w:rsidRPr="005E4A4F" w:rsidRDefault="002A0CBC" w:rsidP="002A0CBC">
      <w:pPr>
        <w:pStyle w:val="Geenafstand"/>
        <w:ind w:left="708" w:hanging="708"/>
        <w:rPr>
          <w:lang w:val="en-GB"/>
        </w:rPr>
      </w:pPr>
      <w:r w:rsidRPr="005E4A4F">
        <w:rPr>
          <w:lang w:val="en-GB"/>
        </w:rPr>
        <w:t>c.</w:t>
      </w:r>
      <w:r w:rsidRPr="005E4A4F">
        <w:rPr>
          <w:lang w:val="en-GB"/>
        </w:rPr>
        <w:tab/>
        <w:t>Explain what the reason is why the premiums for a pension provision financed in accordance with the capital funding system (a feature of the pension provision offered by your company) can be lower than if they are financed by the pay-as-you-go system.</w:t>
      </w:r>
    </w:p>
    <w:p w14:paraId="37952ECA" w14:textId="77777777" w:rsidR="002A0CBC" w:rsidRPr="005E4A4F" w:rsidRDefault="002A0CBC" w:rsidP="002A0CBC">
      <w:pPr>
        <w:pStyle w:val="Geenafstand"/>
        <w:rPr>
          <w:lang w:val="en-GB"/>
        </w:rPr>
      </w:pPr>
    </w:p>
    <w:p w14:paraId="7130DA04" w14:textId="77777777" w:rsidR="002A0CBC" w:rsidRPr="005E4A4F" w:rsidRDefault="002A0CBC" w:rsidP="002A0CBC">
      <w:pPr>
        <w:pStyle w:val="Geenafstand"/>
        <w:rPr>
          <w:lang w:val="en-GB"/>
        </w:rPr>
      </w:pPr>
      <w:r w:rsidRPr="005E4A4F">
        <w:rPr>
          <w:lang w:val="en-GB"/>
        </w:rPr>
        <w:t>Assignment 2.2</w:t>
      </w:r>
    </w:p>
    <w:p w14:paraId="7A28B519" w14:textId="77777777" w:rsidR="002A0CBC" w:rsidRPr="005E4A4F" w:rsidRDefault="002A0CBC" w:rsidP="002A0CBC">
      <w:pPr>
        <w:pStyle w:val="Geenafstand"/>
        <w:rPr>
          <w:lang w:val="en-GB"/>
        </w:rPr>
      </w:pPr>
      <w:r w:rsidRPr="005E4A4F">
        <w:rPr>
          <w:lang w:val="en-GB"/>
        </w:rPr>
        <w:t>Table 2.1 shows the brackets and rates applicable to the calculation of income tax in a country.</w:t>
      </w:r>
    </w:p>
    <w:tbl>
      <w:tblPr>
        <w:tblStyle w:val="Tabelraster2"/>
        <w:tblpPr w:leftFromText="284" w:rightFromText="142" w:topFromText="142" w:bottomFromText="142"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786"/>
        <w:gridCol w:w="963"/>
      </w:tblGrid>
      <w:tr w:rsidR="002A0CBC" w:rsidRPr="002A0CBC" w14:paraId="6FCABA81" w14:textId="77777777" w:rsidTr="00474CFC">
        <w:tc>
          <w:tcPr>
            <w:tcW w:w="4267" w:type="dxa"/>
            <w:gridSpan w:val="3"/>
            <w:tcBorders>
              <w:bottom w:val="single" w:sz="4" w:space="0" w:color="auto"/>
            </w:tcBorders>
          </w:tcPr>
          <w:p w14:paraId="06B884C9" w14:textId="77777777" w:rsidR="002A0CBC" w:rsidRPr="002A0CBC" w:rsidRDefault="002A0CBC" w:rsidP="002A0CBC">
            <w:pPr>
              <w:pStyle w:val="Geenafstand"/>
              <w:rPr>
                <w:rFonts w:asciiTheme="minorHAnsi" w:hAnsiTheme="minorHAnsi" w:cstheme="minorHAnsi"/>
              </w:rPr>
            </w:pPr>
            <w:proofErr w:type="spellStart"/>
            <w:r w:rsidRPr="002A0CBC">
              <w:rPr>
                <w:rFonts w:asciiTheme="minorHAnsi" w:hAnsiTheme="minorHAnsi" w:cstheme="minorHAnsi"/>
              </w:rPr>
              <w:t>table</w:t>
            </w:r>
            <w:proofErr w:type="spellEnd"/>
            <w:r w:rsidRPr="002A0CBC">
              <w:rPr>
                <w:rFonts w:asciiTheme="minorHAnsi" w:hAnsiTheme="minorHAnsi" w:cstheme="minorHAnsi"/>
              </w:rPr>
              <w:t xml:space="preserve"> 2.1</w:t>
            </w:r>
          </w:p>
        </w:tc>
      </w:tr>
      <w:tr w:rsidR="002A0CBC" w:rsidRPr="002A0CBC" w14:paraId="6F36F360" w14:textId="77777777" w:rsidTr="00474CFC">
        <w:tc>
          <w:tcPr>
            <w:tcW w:w="2802" w:type="dxa"/>
            <w:gridSpan w:val="2"/>
            <w:tcBorders>
              <w:top w:val="single" w:sz="4" w:space="0" w:color="auto"/>
              <w:left w:val="single" w:sz="4" w:space="0" w:color="auto"/>
              <w:bottom w:val="single" w:sz="4" w:space="0" w:color="auto"/>
            </w:tcBorders>
            <w:shd w:val="clear" w:color="auto" w:fill="000000" w:themeFill="text1"/>
          </w:tcPr>
          <w:p w14:paraId="4F61DC80" w14:textId="77777777" w:rsidR="002A0CBC" w:rsidRPr="002A0CBC" w:rsidRDefault="002A0CBC" w:rsidP="002A0CBC">
            <w:pPr>
              <w:pStyle w:val="Geenafstand"/>
              <w:rPr>
                <w:rFonts w:asciiTheme="minorHAnsi" w:hAnsiTheme="minorHAnsi" w:cstheme="minorHAnsi"/>
              </w:rPr>
            </w:pPr>
            <w:proofErr w:type="spellStart"/>
            <w:r w:rsidRPr="002A0CBC">
              <w:rPr>
                <w:rFonts w:asciiTheme="minorHAnsi" w:hAnsiTheme="minorHAnsi" w:cstheme="minorHAnsi"/>
              </w:rPr>
              <w:t>income</w:t>
            </w:r>
            <w:proofErr w:type="spellEnd"/>
            <w:r w:rsidRPr="002A0CBC">
              <w:rPr>
                <w:rFonts w:asciiTheme="minorHAnsi" w:hAnsiTheme="minorHAnsi" w:cstheme="minorHAnsi"/>
              </w:rPr>
              <w:t xml:space="preserve"> </w:t>
            </w:r>
            <w:proofErr w:type="spellStart"/>
            <w:r w:rsidRPr="002A0CBC">
              <w:rPr>
                <w:rFonts w:asciiTheme="minorHAnsi" w:hAnsiTheme="minorHAnsi" w:cstheme="minorHAnsi"/>
              </w:rPr>
              <w:t>brackets</w:t>
            </w:r>
            <w:proofErr w:type="spellEnd"/>
          </w:p>
        </w:tc>
        <w:tc>
          <w:tcPr>
            <w:tcW w:w="0" w:type="auto"/>
            <w:tcBorders>
              <w:top w:val="single" w:sz="4" w:space="0" w:color="auto"/>
              <w:bottom w:val="single" w:sz="4" w:space="0" w:color="auto"/>
              <w:right w:val="single" w:sz="4" w:space="0" w:color="auto"/>
            </w:tcBorders>
            <w:shd w:val="clear" w:color="auto" w:fill="000000" w:themeFill="text1"/>
          </w:tcPr>
          <w:p w14:paraId="7854FB3B" w14:textId="77777777" w:rsidR="002A0CBC" w:rsidRPr="002A0CBC" w:rsidRDefault="002A0CBC" w:rsidP="002A0CBC">
            <w:pPr>
              <w:pStyle w:val="Geenafstand"/>
              <w:rPr>
                <w:rFonts w:asciiTheme="minorHAnsi" w:hAnsiTheme="minorHAnsi" w:cstheme="minorHAnsi"/>
              </w:rPr>
            </w:pPr>
            <w:proofErr w:type="spellStart"/>
            <w:r w:rsidRPr="002A0CBC">
              <w:rPr>
                <w:rFonts w:asciiTheme="minorHAnsi" w:hAnsiTheme="minorHAnsi" w:cstheme="minorHAnsi"/>
              </w:rPr>
              <w:t>tax</w:t>
            </w:r>
            <w:proofErr w:type="spellEnd"/>
            <w:r w:rsidRPr="002A0CBC">
              <w:rPr>
                <w:rFonts w:asciiTheme="minorHAnsi" w:hAnsiTheme="minorHAnsi" w:cstheme="minorHAnsi"/>
              </w:rPr>
              <w:t xml:space="preserve"> </w:t>
            </w:r>
            <w:proofErr w:type="spellStart"/>
            <w:r w:rsidRPr="002A0CBC">
              <w:rPr>
                <w:rFonts w:asciiTheme="minorHAnsi" w:hAnsiTheme="minorHAnsi" w:cstheme="minorHAnsi"/>
              </w:rPr>
              <w:t>rates</w:t>
            </w:r>
            <w:proofErr w:type="spellEnd"/>
          </w:p>
        </w:tc>
      </w:tr>
      <w:tr w:rsidR="002A0CBC" w:rsidRPr="002A0CBC" w14:paraId="4B33233C" w14:textId="77777777" w:rsidTr="00474CFC">
        <w:tc>
          <w:tcPr>
            <w:tcW w:w="0" w:type="auto"/>
            <w:tcBorders>
              <w:top w:val="single" w:sz="4" w:space="0" w:color="auto"/>
            </w:tcBorders>
          </w:tcPr>
          <w:p w14:paraId="2A23AE46" w14:textId="77777777" w:rsidR="002A0CBC" w:rsidRPr="002A0CBC" w:rsidRDefault="002A0CBC" w:rsidP="002A0CBC">
            <w:pPr>
              <w:pStyle w:val="Geenafstand"/>
              <w:rPr>
                <w:rFonts w:asciiTheme="minorHAnsi" w:hAnsiTheme="minorHAnsi" w:cstheme="minorHAnsi"/>
              </w:rPr>
            </w:pPr>
            <w:r w:rsidRPr="002A0CBC">
              <w:rPr>
                <w:rFonts w:asciiTheme="minorHAnsi" w:hAnsiTheme="minorHAnsi" w:cstheme="minorHAnsi"/>
              </w:rPr>
              <w:t>first bracket</w:t>
            </w:r>
          </w:p>
        </w:tc>
        <w:tc>
          <w:tcPr>
            <w:tcW w:w="1708" w:type="dxa"/>
            <w:tcBorders>
              <w:top w:val="single" w:sz="4" w:space="0" w:color="auto"/>
            </w:tcBorders>
            <w:vAlign w:val="center"/>
          </w:tcPr>
          <w:p w14:paraId="35E18BC5" w14:textId="1F094B87" w:rsidR="002A0CBC" w:rsidRPr="002A0CBC" w:rsidRDefault="002A0CBC" w:rsidP="002A0CBC">
            <w:pPr>
              <w:pStyle w:val="Geenafstand"/>
              <w:rPr>
                <w:rFonts w:asciiTheme="minorHAnsi" w:hAnsiTheme="minorHAnsi" w:cstheme="minorHAnsi"/>
              </w:rPr>
            </w:pPr>
            <w:r w:rsidRPr="002A0CBC">
              <w:rPr>
                <w:rFonts w:asciiTheme="minorHAnsi" w:hAnsiTheme="minorHAnsi" w:cstheme="minorHAnsi"/>
              </w:rPr>
              <w:t xml:space="preserve">€0 </w:t>
            </w:r>
            <w:proofErr w:type="spellStart"/>
            <w:r w:rsidRPr="002A0CBC">
              <w:rPr>
                <w:rFonts w:asciiTheme="minorHAnsi" w:hAnsiTheme="minorHAnsi" w:cstheme="minorHAnsi"/>
              </w:rPr>
              <w:t>to</w:t>
            </w:r>
            <w:proofErr w:type="spellEnd"/>
            <w:r w:rsidRPr="002A0CBC">
              <w:rPr>
                <w:rFonts w:asciiTheme="minorHAnsi" w:hAnsiTheme="minorHAnsi" w:cstheme="minorHAnsi"/>
              </w:rPr>
              <w:t xml:space="preserve"> €68,50</w:t>
            </w:r>
            <w:r w:rsidR="005E4A4F">
              <w:rPr>
                <w:rFonts w:asciiTheme="minorHAnsi" w:hAnsiTheme="minorHAnsi" w:cstheme="minorHAnsi"/>
              </w:rPr>
              <w:t>8</w:t>
            </w:r>
          </w:p>
        </w:tc>
        <w:tc>
          <w:tcPr>
            <w:tcW w:w="0" w:type="auto"/>
            <w:tcBorders>
              <w:top w:val="single" w:sz="4" w:space="0" w:color="auto"/>
            </w:tcBorders>
            <w:vAlign w:val="center"/>
          </w:tcPr>
          <w:p w14:paraId="28BBE454" w14:textId="42A343B3" w:rsidR="002A0CBC" w:rsidRPr="002A0CBC" w:rsidRDefault="002A0CBC" w:rsidP="002A0CBC">
            <w:pPr>
              <w:pStyle w:val="Geenafstand"/>
              <w:rPr>
                <w:rFonts w:asciiTheme="minorHAnsi" w:hAnsiTheme="minorHAnsi" w:cstheme="minorHAnsi"/>
              </w:rPr>
            </w:pPr>
            <w:r w:rsidRPr="002A0CBC">
              <w:rPr>
                <w:rFonts w:asciiTheme="minorHAnsi" w:hAnsiTheme="minorHAnsi" w:cstheme="minorHAnsi"/>
              </w:rPr>
              <w:t>37.</w:t>
            </w:r>
            <w:r w:rsidR="005E4A4F">
              <w:rPr>
                <w:rFonts w:asciiTheme="minorHAnsi" w:hAnsiTheme="minorHAnsi" w:cstheme="minorHAnsi"/>
              </w:rPr>
              <w:t>1</w:t>
            </w:r>
            <w:r w:rsidRPr="002A0CBC">
              <w:rPr>
                <w:rFonts w:asciiTheme="minorHAnsi" w:hAnsiTheme="minorHAnsi" w:cstheme="minorHAnsi"/>
              </w:rPr>
              <w:t>0%</w:t>
            </w:r>
          </w:p>
        </w:tc>
      </w:tr>
      <w:tr w:rsidR="002A0CBC" w:rsidRPr="002A0CBC" w14:paraId="74DBE0E4" w14:textId="77777777" w:rsidTr="00474CFC">
        <w:tc>
          <w:tcPr>
            <w:tcW w:w="0" w:type="auto"/>
          </w:tcPr>
          <w:p w14:paraId="03DBA1E5" w14:textId="77777777" w:rsidR="002A0CBC" w:rsidRPr="002A0CBC" w:rsidRDefault="002A0CBC" w:rsidP="002A0CBC">
            <w:pPr>
              <w:pStyle w:val="Geenafstand"/>
              <w:rPr>
                <w:rFonts w:asciiTheme="minorHAnsi" w:hAnsiTheme="minorHAnsi" w:cstheme="minorHAnsi"/>
              </w:rPr>
            </w:pPr>
            <w:r w:rsidRPr="002A0CBC">
              <w:rPr>
                <w:rFonts w:asciiTheme="minorHAnsi" w:hAnsiTheme="minorHAnsi" w:cstheme="minorHAnsi"/>
              </w:rPr>
              <w:t>second bracket</w:t>
            </w:r>
          </w:p>
        </w:tc>
        <w:tc>
          <w:tcPr>
            <w:tcW w:w="1708" w:type="dxa"/>
            <w:vAlign w:val="center"/>
          </w:tcPr>
          <w:p w14:paraId="1BDE93A7" w14:textId="0C68F2B6" w:rsidR="002A0CBC" w:rsidRPr="002A0CBC" w:rsidRDefault="002A0CBC" w:rsidP="002A0CBC">
            <w:pPr>
              <w:pStyle w:val="Geenafstand"/>
              <w:rPr>
                <w:rFonts w:asciiTheme="minorHAnsi" w:hAnsiTheme="minorHAnsi" w:cstheme="minorHAnsi"/>
              </w:rPr>
            </w:pPr>
            <w:r w:rsidRPr="002A0CBC">
              <w:rPr>
                <w:rFonts w:asciiTheme="minorHAnsi" w:hAnsiTheme="minorHAnsi" w:cstheme="minorHAnsi"/>
              </w:rPr>
              <w:t>€68,50</w:t>
            </w:r>
            <w:r w:rsidR="005E4A4F">
              <w:rPr>
                <w:rFonts w:asciiTheme="minorHAnsi" w:hAnsiTheme="minorHAnsi" w:cstheme="minorHAnsi"/>
              </w:rPr>
              <w:t>8</w:t>
            </w:r>
            <w:r w:rsidRPr="002A0CBC">
              <w:rPr>
                <w:rFonts w:asciiTheme="minorHAnsi" w:hAnsiTheme="minorHAnsi" w:cstheme="minorHAnsi"/>
              </w:rPr>
              <w:t xml:space="preserve"> or more</w:t>
            </w:r>
          </w:p>
        </w:tc>
        <w:tc>
          <w:tcPr>
            <w:tcW w:w="0" w:type="auto"/>
            <w:vAlign w:val="center"/>
          </w:tcPr>
          <w:p w14:paraId="44D32FC1" w14:textId="77777777" w:rsidR="002A0CBC" w:rsidRPr="002A0CBC" w:rsidRDefault="002A0CBC" w:rsidP="002A0CBC">
            <w:pPr>
              <w:pStyle w:val="Geenafstand"/>
              <w:rPr>
                <w:rFonts w:asciiTheme="minorHAnsi" w:hAnsiTheme="minorHAnsi" w:cstheme="minorHAnsi"/>
              </w:rPr>
            </w:pPr>
            <w:r w:rsidRPr="002A0CBC">
              <w:rPr>
                <w:rFonts w:asciiTheme="minorHAnsi" w:hAnsiTheme="minorHAnsi" w:cstheme="minorHAnsi"/>
              </w:rPr>
              <w:t>49.50%</w:t>
            </w:r>
          </w:p>
        </w:tc>
      </w:tr>
    </w:tbl>
    <w:p w14:paraId="324F8C9B" w14:textId="77777777" w:rsidR="002A0CBC" w:rsidRPr="002A0CBC" w:rsidRDefault="002A0CBC" w:rsidP="002A0CBC">
      <w:pPr>
        <w:pStyle w:val="Geenafstand"/>
      </w:pPr>
    </w:p>
    <w:p w14:paraId="30D1E0DD" w14:textId="77777777" w:rsidR="002A0CBC" w:rsidRPr="002A0CBC" w:rsidRDefault="002A0CBC" w:rsidP="002A0CBC">
      <w:pPr>
        <w:pStyle w:val="Geenafstand"/>
      </w:pPr>
    </w:p>
    <w:p w14:paraId="7EAC4DDB" w14:textId="77777777" w:rsidR="002A0CBC" w:rsidRPr="002A0CBC" w:rsidRDefault="002A0CBC" w:rsidP="002A0CBC">
      <w:pPr>
        <w:pStyle w:val="Geenafstand"/>
      </w:pPr>
    </w:p>
    <w:p w14:paraId="3333C704" w14:textId="77777777" w:rsidR="002A0CBC" w:rsidRPr="002A0CBC" w:rsidRDefault="002A0CBC" w:rsidP="002A0CBC">
      <w:pPr>
        <w:pStyle w:val="Geenafstand"/>
      </w:pPr>
    </w:p>
    <w:p w14:paraId="6466B30D" w14:textId="77777777" w:rsidR="002A0CBC" w:rsidRPr="002A0CBC" w:rsidRDefault="002A0CBC" w:rsidP="002A0CBC">
      <w:pPr>
        <w:pStyle w:val="Geenafstand"/>
      </w:pPr>
    </w:p>
    <w:p w14:paraId="52EFE851" w14:textId="77777777" w:rsidR="002A0CBC" w:rsidRPr="002A0CBC" w:rsidRDefault="002A0CBC" w:rsidP="002A0CBC">
      <w:pPr>
        <w:pStyle w:val="Geenafstand"/>
      </w:pPr>
    </w:p>
    <w:p w14:paraId="58B04929" w14:textId="77777777" w:rsidR="002A0CBC" w:rsidRPr="005E4A4F" w:rsidRDefault="002A0CBC" w:rsidP="002A0CBC">
      <w:pPr>
        <w:pStyle w:val="Geenafstand"/>
        <w:rPr>
          <w:lang w:val="en-GB"/>
        </w:rPr>
      </w:pPr>
      <w:r w:rsidRPr="005E4A4F">
        <w:rPr>
          <w:lang w:val="en-GB"/>
        </w:rPr>
        <w:t>a.</w:t>
      </w:r>
      <w:r w:rsidRPr="005E4A4F">
        <w:rPr>
          <w:lang w:val="en-GB"/>
        </w:rPr>
        <w:tab/>
        <w:t>What exactly is the difference between the gross income and the taxable income?</w:t>
      </w:r>
    </w:p>
    <w:p w14:paraId="7DF38CA6" w14:textId="77777777" w:rsidR="002A0CBC" w:rsidRPr="005E4A4F" w:rsidRDefault="002A0CBC" w:rsidP="002A0CBC">
      <w:pPr>
        <w:pStyle w:val="Geenafstand"/>
        <w:rPr>
          <w:lang w:val="en-GB"/>
        </w:rPr>
      </w:pPr>
    </w:p>
    <w:p w14:paraId="0367A595" w14:textId="77777777" w:rsidR="002A0CBC" w:rsidRPr="005E4A4F" w:rsidRDefault="002A0CBC" w:rsidP="002A0CBC">
      <w:pPr>
        <w:pStyle w:val="Geenafstand"/>
        <w:rPr>
          <w:lang w:val="en-GB"/>
        </w:rPr>
      </w:pPr>
      <w:r w:rsidRPr="005E4A4F">
        <w:rPr>
          <w:lang w:val="en-GB"/>
        </w:rPr>
        <w:t>Abdel has a taxable annual income of €70,000. He is entitled to €2,200 in tax credits.</w:t>
      </w:r>
    </w:p>
    <w:p w14:paraId="3A48008C" w14:textId="77777777" w:rsidR="002A0CBC" w:rsidRPr="005E4A4F" w:rsidRDefault="002A0CBC" w:rsidP="002A0CBC">
      <w:pPr>
        <w:pStyle w:val="Geenafstand"/>
        <w:rPr>
          <w:lang w:val="en-GB"/>
        </w:rPr>
      </w:pPr>
      <w:r w:rsidRPr="005E4A4F">
        <w:rPr>
          <w:lang w:val="en-GB"/>
        </w:rPr>
        <w:t>b.</w:t>
      </w:r>
      <w:r w:rsidRPr="005E4A4F">
        <w:rPr>
          <w:lang w:val="en-GB"/>
        </w:rPr>
        <w:tab/>
        <w:t>Calculate the amount of income tax which Abdel has to pay.</w:t>
      </w:r>
    </w:p>
    <w:p w14:paraId="7749D645" w14:textId="77777777" w:rsidR="002A0CBC" w:rsidRPr="005E4A4F" w:rsidRDefault="002A0CBC" w:rsidP="002A0CBC">
      <w:pPr>
        <w:pStyle w:val="Geenafstand"/>
        <w:rPr>
          <w:lang w:val="en-GB"/>
        </w:rPr>
      </w:pPr>
      <w:r w:rsidRPr="005E4A4F">
        <w:rPr>
          <w:lang w:val="en-GB"/>
        </w:rPr>
        <w:t>c.</w:t>
      </w:r>
      <w:r w:rsidRPr="005E4A4F">
        <w:rPr>
          <w:lang w:val="en-GB"/>
        </w:rPr>
        <w:tab/>
        <w:t>What percentage of his taxable income must Abdel pay in income tax?</w:t>
      </w:r>
    </w:p>
    <w:p w14:paraId="66AE05FB" w14:textId="77777777" w:rsidR="002A0CBC" w:rsidRPr="005E4A4F" w:rsidRDefault="002A0CBC" w:rsidP="002A0CBC">
      <w:pPr>
        <w:pStyle w:val="Geenafstand"/>
        <w:rPr>
          <w:lang w:val="en-GB"/>
        </w:rPr>
      </w:pPr>
    </w:p>
    <w:p w14:paraId="3D286432" w14:textId="77777777" w:rsidR="002A0CBC" w:rsidRPr="005E4A4F" w:rsidRDefault="002A0CBC" w:rsidP="002A0CBC">
      <w:pPr>
        <w:pStyle w:val="Geenafstand"/>
        <w:rPr>
          <w:lang w:val="en-GB"/>
        </w:rPr>
      </w:pPr>
      <w:r w:rsidRPr="005E4A4F">
        <w:rPr>
          <w:lang w:val="en-GB"/>
        </w:rPr>
        <w:t>Assignment 2.3</w:t>
      </w:r>
    </w:p>
    <w:p w14:paraId="5198AF39" w14:textId="77777777" w:rsidR="002A0CBC" w:rsidRPr="005E4A4F" w:rsidRDefault="002A0CBC" w:rsidP="002A0CBC">
      <w:pPr>
        <w:pStyle w:val="Geenafstand"/>
        <w:rPr>
          <w:lang w:val="en-GB"/>
        </w:rPr>
      </w:pPr>
      <w:r w:rsidRPr="005E4A4F">
        <w:rPr>
          <w:lang w:val="en-GB"/>
        </w:rPr>
        <w:t>At present Italy has the highest national debt within the European Union after Greece. In 2018 that debt amounted to no less than €2,358 billion. This meant that Italy did not comply with an important agreement made within the European Union. In 2018 Italy’s national income was €1,785 billion.</w:t>
      </w:r>
    </w:p>
    <w:p w14:paraId="69870E79" w14:textId="77777777" w:rsidR="002A0CBC" w:rsidRPr="005E4A4F" w:rsidRDefault="002A0CBC" w:rsidP="002A0CBC">
      <w:pPr>
        <w:pStyle w:val="Geenafstand"/>
        <w:rPr>
          <w:lang w:val="en-GB"/>
        </w:rPr>
      </w:pPr>
      <w:r w:rsidRPr="005E4A4F">
        <w:rPr>
          <w:lang w:val="en-GB"/>
        </w:rPr>
        <w:t>a.</w:t>
      </w:r>
      <w:r w:rsidRPr="005E4A4F">
        <w:rPr>
          <w:lang w:val="en-GB"/>
        </w:rPr>
        <w:tab/>
        <w:t>Calculate Italy’s national debt ratio in 2018.</w:t>
      </w:r>
    </w:p>
    <w:p w14:paraId="7D431FF4" w14:textId="77777777" w:rsidR="002A0CBC" w:rsidRPr="005E4A4F" w:rsidRDefault="002A0CBC" w:rsidP="002A0CBC">
      <w:pPr>
        <w:pStyle w:val="Geenafstand"/>
        <w:rPr>
          <w:lang w:val="en-GB"/>
        </w:rPr>
      </w:pPr>
      <w:r w:rsidRPr="005E4A4F">
        <w:rPr>
          <w:lang w:val="en-GB"/>
        </w:rPr>
        <w:t>b.</w:t>
      </w:r>
      <w:r w:rsidRPr="005E4A4F">
        <w:rPr>
          <w:lang w:val="en-GB"/>
        </w:rPr>
        <w:tab/>
        <w:t>Which important agreement did Italy not comply with?</w:t>
      </w:r>
    </w:p>
    <w:p w14:paraId="132DD857" w14:textId="77777777" w:rsidR="002A0CBC" w:rsidRPr="005E4A4F" w:rsidRDefault="002A0CBC" w:rsidP="002A0CBC">
      <w:pPr>
        <w:pStyle w:val="Geenafstand"/>
        <w:rPr>
          <w:lang w:val="en-GB"/>
        </w:rPr>
      </w:pPr>
    </w:p>
    <w:p w14:paraId="60D14F74" w14:textId="77777777" w:rsidR="002A0CBC" w:rsidRPr="005E4A4F" w:rsidRDefault="002A0CBC" w:rsidP="002A0CBC">
      <w:pPr>
        <w:pStyle w:val="Geenafstand"/>
        <w:rPr>
          <w:lang w:val="en-GB"/>
        </w:rPr>
      </w:pPr>
      <w:r w:rsidRPr="005E4A4F">
        <w:rPr>
          <w:lang w:val="en-GB"/>
        </w:rPr>
        <w:t>In 2018 the Italian government spent €312.3 billion and had a budget deficit of 2.1%.</w:t>
      </w:r>
    </w:p>
    <w:p w14:paraId="58E20AC7" w14:textId="77777777" w:rsidR="002A0CBC" w:rsidRPr="005E4A4F" w:rsidRDefault="002A0CBC" w:rsidP="002A0CBC">
      <w:pPr>
        <w:pStyle w:val="Geenafstand"/>
        <w:rPr>
          <w:lang w:val="en-GB"/>
        </w:rPr>
      </w:pPr>
      <w:r w:rsidRPr="005E4A4F">
        <w:rPr>
          <w:lang w:val="en-GB"/>
        </w:rPr>
        <w:t>c.</w:t>
      </w:r>
      <w:r w:rsidRPr="005E4A4F">
        <w:rPr>
          <w:lang w:val="en-GB"/>
        </w:rPr>
        <w:tab/>
        <w:t>Calculate the income of the Italian government in 2018.</w:t>
      </w:r>
    </w:p>
    <w:p w14:paraId="72C454DF" w14:textId="77777777" w:rsidR="002A0CBC" w:rsidRPr="005E4A4F" w:rsidRDefault="002A0CBC" w:rsidP="002A0CBC">
      <w:pPr>
        <w:pStyle w:val="Geenafstand"/>
        <w:rPr>
          <w:lang w:val="en-GB"/>
        </w:rPr>
      </w:pPr>
      <w:r w:rsidRPr="005E4A4F">
        <w:rPr>
          <w:lang w:val="en-GB"/>
        </w:rPr>
        <w:br w:type="page"/>
      </w:r>
    </w:p>
    <w:p w14:paraId="70F8F462" w14:textId="77777777" w:rsidR="002A0CBC" w:rsidRPr="005E4A4F" w:rsidRDefault="002A0CBC" w:rsidP="002A0CBC">
      <w:pPr>
        <w:pStyle w:val="Geenafstand"/>
        <w:rPr>
          <w:b/>
          <w:lang w:val="en-GB"/>
        </w:rPr>
      </w:pPr>
      <w:r w:rsidRPr="005E4A4F">
        <w:rPr>
          <w:b/>
          <w:lang w:val="en-GB"/>
        </w:rPr>
        <w:lastRenderedPageBreak/>
        <w:t>Computations</w:t>
      </w:r>
    </w:p>
    <w:p w14:paraId="19C439BB" w14:textId="77777777" w:rsidR="002A0CBC" w:rsidRPr="005E4A4F" w:rsidRDefault="002A0CBC" w:rsidP="002A0CBC">
      <w:pPr>
        <w:pStyle w:val="Geenafstand"/>
        <w:rPr>
          <w:b/>
          <w:lang w:val="en-GB"/>
        </w:rPr>
      </w:pPr>
    </w:p>
    <w:p w14:paraId="17E78497" w14:textId="77777777" w:rsidR="002A0CBC" w:rsidRPr="005E4A4F" w:rsidRDefault="002A0CBC" w:rsidP="002A0CBC">
      <w:pPr>
        <w:pStyle w:val="Geenafstand"/>
        <w:rPr>
          <w:lang w:val="en-GB"/>
        </w:rPr>
      </w:pPr>
      <w:r w:rsidRPr="005E4A4F">
        <w:rPr>
          <w:lang w:val="en-GB"/>
        </w:rPr>
        <w:t>Assignment 2.1</w:t>
      </w:r>
    </w:p>
    <w:p w14:paraId="27D65D8A" w14:textId="77777777" w:rsidR="002A0CBC" w:rsidRPr="005E4A4F" w:rsidRDefault="002A0CBC" w:rsidP="002A0CBC">
      <w:pPr>
        <w:pStyle w:val="Geenafstand"/>
        <w:ind w:left="708" w:hanging="708"/>
        <w:rPr>
          <w:lang w:val="en-GB"/>
        </w:rPr>
      </w:pPr>
      <w:r w:rsidRPr="005E4A4F">
        <w:rPr>
          <w:lang w:val="en-GB"/>
        </w:rPr>
        <w:t>a.</w:t>
      </w:r>
      <w:r w:rsidRPr="005E4A4F">
        <w:rPr>
          <w:lang w:val="en-GB"/>
        </w:rPr>
        <w:tab/>
        <w:t>A description of the pay-as-you-go system: OAP benefits in a certain year are paid from the OAP premiums which the active workers / parties liable to pay premiums have paid in that year.</w:t>
      </w:r>
    </w:p>
    <w:p w14:paraId="65CF31F3" w14:textId="77777777" w:rsidR="002A0CBC" w:rsidRPr="005E4A4F" w:rsidRDefault="002A0CBC" w:rsidP="002A0CBC">
      <w:pPr>
        <w:pStyle w:val="Geenafstand"/>
        <w:rPr>
          <w:lang w:val="en-GB"/>
        </w:rPr>
      </w:pPr>
    </w:p>
    <w:p w14:paraId="58BC27AB" w14:textId="77777777" w:rsidR="002A0CBC" w:rsidRPr="005E4A4F" w:rsidRDefault="002A0CBC" w:rsidP="002A0CBC">
      <w:pPr>
        <w:pStyle w:val="Geenafstand"/>
        <w:ind w:left="708" w:hanging="708"/>
        <w:rPr>
          <w:lang w:val="en-GB"/>
        </w:rPr>
      </w:pPr>
      <w:r w:rsidRPr="005E4A4F">
        <w:rPr>
          <w:lang w:val="en-GB"/>
        </w:rPr>
        <w:t>b.</w:t>
      </w:r>
      <w:r w:rsidRPr="005E4A4F">
        <w:rPr>
          <w:lang w:val="en-GB"/>
        </w:rPr>
        <w:tab/>
        <w:t>A description which shows that a larger number of old-age pensioners must receive benefits which must be financed from premiums raised by a proportionally ever smaller number of active workers.</w:t>
      </w:r>
    </w:p>
    <w:p w14:paraId="454AB6A5" w14:textId="77777777" w:rsidR="002A0CBC" w:rsidRPr="005E4A4F" w:rsidRDefault="002A0CBC" w:rsidP="002A0CBC">
      <w:pPr>
        <w:pStyle w:val="Geenafstand"/>
        <w:rPr>
          <w:lang w:val="en-GB"/>
        </w:rPr>
      </w:pPr>
    </w:p>
    <w:p w14:paraId="5E4DA484" w14:textId="77777777" w:rsidR="002A0CBC" w:rsidRPr="005E4A4F" w:rsidRDefault="002A0CBC" w:rsidP="002A0CBC">
      <w:pPr>
        <w:pStyle w:val="Geenafstand"/>
        <w:ind w:left="708" w:hanging="708"/>
        <w:rPr>
          <w:lang w:val="en-GB"/>
        </w:rPr>
      </w:pPr>
      <w:r w:rsidRPr="005E4A4F">
        <w:rPr>
          <w:lang w:val="en-GB"/>
        </w:rPr>
        <w:t>c.</w:t>
      </w:r>
      <w:r w:rsidRPr="005E4A4F">
        <w:rPr>
          <w:lang w:val="en-GB"/>
        </w:rPr>
        <w:tab/>
        <w:t>In a capital funding system the premiums are paid every month and are invested. Normally speaking the yield of the investments raises the invested amount so that eventually it will take less money put in for the same pension benefit.</w:t>
      </w:r>
    </w:p>
    <w:p w14:paraId="63AD4E38" w14:textId="77777777" w:rsidR="002A0CBC" w:rsidRPr="005E4A4F" w:rsidRDefault="002A0CBC" w:rsidP="002A0CBC">
      <w:pPr>
        <w:pStyle w:val="Geenafstand"/>
        <w:rPr>
          <w:lang w:val="en-GB"/>
        </w:rPr>
      </w:pPr>
    </w:p>
    <w:p w14:paraId="0A9E9443" w14:textId="77777777" w:rsidR="002A0CBC" w:rsidRPr="005E4A4F" w:rsidRDefault="002A0CBC" w:rsidP="002A0CBC">
      <w:pPr>
        <w:pStyle w:val="Geenafstand"/>
        <w:rPr>
          <w:lang w:val="en-GB"/>
        </w:rPr>
      </w:pPr>
      <w:r w:rsidRPr="005E4A4F">
        <w:rPr>
          <w:lang w:val="en-GB"/>
        </w:rPr>
        <w:t>Assignment 2.2</w:t>
      </w:r>
    </w:p>
    <w:p w14:paraId="00AA809F" w14:textId="77777777" w:rsidR="002A0CBC" w:rsidRPr="005E4A4F" w:rsidRDefault="002A0CBC" w:rsidP="002A0CBC">
      <w:pPr>
        <w:pStyle w:val="Geenafstand"/>
        <w:rPr>
          <w:lang w:val="en-GB"/>
        </w:rPr>
      </w:pPr>
      <w:r w:rsidRPr="005E4A4F">
        <w:rPr>
          <w:lang w:val="en-GB"/>
        </w:rPr>
        <w:t>a.</w:t>
      </w:r>
      <w:r w:rsidRPr="005E4A4F">
        <w:rPr>
          <w:lang w:val="en-GB"/>
        </w:rPr>
        <w:tab/>
        <w:t>Tax-deductible items (and additions).</w:t>
      </w:r>
    </w:p>
    <w:p w14:paraId="281502AB" w14:textId="77777777" w:rsidR="002A0CBC" w:rsidRPr="005E4A4F" w:rsidRDefault="002A0CBC" w:rsidP="002A0CBC">
      <w:pPr>
        <w:pStyle w:val="Geenafstand"/>
        <w:rPr>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454"/>
        <w:gridCol w:w="227"/>
        <w:gridCol w:w="1162"/>
        <w:gridCol w:w="2939"/>
        <w:gridCol w:w="157"/>
        <w:gridCol w:w="758"/>
        <w:gridCol w:w="169"/>
      </w:tblGrid>
      <w:tr w:rsidR="002A0CBC" w:rsidRPr="002A0CBC" w14:paraId="23301E87" w14:textId="77777777" w:rsidTr="008F458B">
        <w:tc>
          <w:tcPr>
            <w:tcW w:w="454" w:type="dxa"/>
          </w:tcPr>
          <w:p w14:paraId="491428B9" w14:textId="77777777" w:rsidR="002A0CBC" w:rsidRPr="002A0CBC" w:rsidRDefault="002A0CBC" w:rsidP="002A0CBC">
            <w:pPr>
              <w:pStyle w:val="Geenafstand"/>
            </w:pPr>
            <w:r w:rsidRPr="002A0CBC">
              <w:t>b.</w:t>
            </w:r>
          </w:p>
        </w:tc>
        <w:tc>
          <w:tcPr>
            <w:tcW w:w="227" w:type="dxa"/>
          </w:tcPr>
          <w:p w14:paraId="256B14F1" w14:textId="77777777" w:rsidR="002A0CBC" w:rsidRPr="002A0CBC" w:rsidRDefault="002A0CBC" w:rsidP="002A0CBC">
            <w:pPr>
              <w:pStyle w:val="Geenafstand"/>
            </w:pPr>
          </w:p>
        </w:tc>
        <w:tc>
          <w:tcPr>
            <w:tcW w:w="1162" w:type="dxa"/>
          </w:tcPr>
          <w:p w14:paraId="180F2789" w14:textId="77777777" w:rsidR="002A0CBC" w:rsidRPr="002A0CBC" w:rsidRDefault="002A0CBC" w:rsidP="002A0CBC">
            <w:pPr>
              <w:pStyle w:val="Geenafstand"/>
            </w:pPr>
            <w:r w:rsidRPr="002A0CBC">
              <w:t>1st bracket</w:t>
            </w:r>
          </w:p>
        </w:tc>
        <w:tc>
          <w:tcPr>
            <w:tcW w:w="2939" w:type="dxa"/>
          </w:tcPr>
          <w:p w14:paraId="186C7F46" w14:textId="2FC8C338" w:rsidR="002A0CBC" w:rsidRPr="002A0CBC" w:rsidRDefault="002A0CBC" w:rsidP="002A0CBC">
            <w:pPr>
              <w:pStyle w:val="Geenafstand"/>
            </w:pPr>
            <w:r w:rsidRPr="002A0CBC">
              <w:t>0.37</w:t>
            </w:r>
            <w:r w:rsidR="005E4A4F">
              <w:t>1</w:t>
            </w:r>
            <w:r w:rsidRPr="002A0CBC">
              <w:t>0 × 68,50</w:t>
            </w:r>
            <w:r w:rsidR="005E4A4F">
              <w:t>8</w:t>
            </w:r>
            <w:r w:rsidRPr="002A0CBC">
              <w:t xml:space="preserve"> =</w:t>
            </w:r>
          </w:p>
        </w:tc>
        <w:tc>
          <w:tcPr>
            <w:tcW w:w="157" w:type="dxa"/>
          </w:tcPr>
          <w:p w14:paraId="155B655E" w14:textId="77777777" w:rsidR="002A0CBC" w:rsidRPr="002A0CBC" w:rsidRDefault="002A0CBC" w:rsidP="002A0CBC">
            <w:pPr>
              <w:pStyle w:val="Geenafstand"/>
            </w:pPr>
            <w:r w:rsidRPr="002A0CBC">
              <w:t>€</w:t>
            </w:r>
          </w:p>
        </w:tc>
        <w:tc>
          <w:tcPr>
            <w:tcW w:w="758" w:type="dxa"/>
          </w:tcPr>
          <w:p w14:paraId="6E4C7ED1" w14:textId="43F60081" w:rsidR="002A0CBC" w:rsidRPr="002A0CBC" w:rsidRDefault="002A0CBC" w:rsidP="002A0CBC">
            <w:pPr>
              <w:pStyle w:val="Geenafstand"/>
            </w:pPr>
            <w:r w:rsidRPr="002A0CBC">
              <w:t> 25,</w:t>
            </w:r>
            <w:r w:rsidR="005E4A4F">
              <w:t>4</w:t>
            </w:r>
            <w:r w:rsidRPr="002A0CBC">
              <w:t>1</w:t>
            </w:r>
            <w:r w:rsidR="005E4A4F">
              <w:t>6</w:t>
            </w:r>
          </w:p>
        </w:tc>
        <w:tc>
          <w:tcPr>
            <w:tcW w:w="169" w:type="dxa"/>
          </w:tcPr>
          <w:p w14:paraId="07AA168F" w14:textId="77777777" w:rsidR="002A0CBC" w:rsidRPr="002A0CBC" w:rsidRDefault="002A0CBC" w:rsidP="002A0CBC">
            <w:pPr>
              <w:pStyle w:val="Geenafstand"/>
            </w:pPr>
          </w:p>
        </w:tc>
      </w:tr>
      <w:tr w:rsidR="002A0CBC" w:rsidRPr="002A0CBC" w14:paraId="28AECA59" w14:textId="77777777" w:rsidTr="008F458B">
        <w:tc>
          <w:tcPr>
            <w:tcW w:w="454" w:type="dxa"/>
          </w:tcPr>
          <w:p w14:paraId="080FEBD3" w14:textId="77777777" w:rsidR="002A0CBC" w:rsidRPr="002A0CBC" w:rsidRDefault="002A0CBC" w:rsidP="002A0CBC">
            <w:pPr>
              <w:pStyle w:val="Geenafstand"/>
            </w:pPr>
          </w:p>
        </w:tc>
        <w:tc>
          <w:tcPr>
            <w:tcW w:w="227" w:type="dxa"/>
          </w:tcPr>
          <w:p w14:paraId="65D6BBC4" w14:textId="77777777" w:rsidR="002A0CBC" w:rsidRPr="002A0CBC" w:rsidRDefault="002A0CBC" w:rsidP="002A0CBC">
            <w:pPr>
              <w:pStyle w:val="Geenafstand"/>
            </w:pPr>
          </w:p>
        </w:tc>
        <w:tc>
          <w:tcPr>
            <w:tcW w:w="1162" w:type="dxa"/>
          </w:tcPr>
          <w:p w14:paraId="79EE3E4B" w14:textId="77777777" w:rsidR="002A0CBC" w:rsidRPr="002A0CBC" w:rsidRDefault="002A0CBC" w:rsidP="002A0CBC">
            <w:pPr>
              <w:pStyle w:val="Geenafstand"/>
            </w:pPr>
            <w:r w:rsidRPr="002A0CBC">
              <w:t>2nd bracket</w:t>
            </w:r>
          </w:p>
        </w:tc>
        <w:tc>
          <w:tcPr>
            <w:tcW w:w="2939" w:type="dxa"/>
          </w:tcPr>
          <w:p w14:paraId="43D8B942" w14:textId="4F7E2170" w:rsidR="002A0CBC" w:rsidRPr="002A0CBC" w:rsidRDefault="002A0CBC" w:rsidP="002A0CBC">
            <w:pPr>
              <w:pStyle w:val="Geenafstand"/>
            </w:pPr>
            <w:r w:rsidRPr="002A0CBC">
              <w:t>0.495 × (70,000 – 68,50</w:t>
            </w:r>
            <w:r w:rsidR="005E4A4F">
              <w:t>8</w:t>
            </w:r>
            <w:r w:rsidRPr="002A0CBC">
              <w:t>) =</w:t>
            </w:r>
          </w:p>
        </w:tc>
        <w:tc>
          <w:tcPr>
            <w:tcW w:w="157" w:type="dxa"/>
          </w:tcPr>
          <w:p w14:paraId="6C47F61C" w14:textId="77777777" w:rsidR="002A0CBC" w:rsidRPr="002A0CBC" w:rsidRDefault="002A0CBC" w:rsidP="002A0CBC">
            <w:pPr>
              <w:pStyle w:val="Geenafstand"/>
            </w:pPr>
            <w:r w:rsidRPr="002A0CBC">
              <w:t>€</w:t>
            </w:r>
          </w:p>
        </w:tc>
        <w:tc>
          <w:tcPr>
            <w:tcW w:w="758" w:type="dxa"/>
            <w:tcBorders>
              <w:bottom w:val="single" w:sz="4" w:space="0" w:color="auto"/>
            </w:tcBorders>
          </w:tcPr>
          <w:p w14:paraId="1FB987E9" w14:textId="34D5B7F4" w:rsidR="002A0CBC" w:rsidRPr="002A0CBC" w:rsidRDefault="002A0CBC" w:rsidP="002A0CBC">
            <w:pPr>
              <w:pStyle w:val="Geenafstand"/>
            </w:pPr>
            <w:r w:rsidRPr="002A0CBC">
              <w:t>      73</w:t>
            </w:r>
            <w:r w:rsidR="005E4A4F">
              <w:t>8</w:t>
            </w:r>
          </w:p>
        </w:tc>
        <w:tc>
          <w:tcPr>
            <w:tcW w:w="169" w:type="dxa"/>
          </w:tcPr>
          <w:p w14:paraId="2B9FB350" w14:textId="77777777" w:rsidR="002A0CBC" w:rsidRPr="002A0CBC" w:rsidRDefault="002A0CBC" w:rsidP="002A0CBC">
            <w:pPr>
              <w:pStyle w:val="Geenafstand"/>
            </w:pPr>
            <w:r w:rsidRPr="002A0CBC">
              <w:t>+</w:t>
            </w:r>
          </w:p>
        </w:tc>
      </w:tr>
      <w:tr w:rsidR="002A0CBC" w:rsidRPr="002A0CBC" w14:paraId="56D7F178" w14:textId="77777777" w:rsidTr="008F458B">
        <w:tc>
          <w:tcPr>
            <w:tcW w:w="454" w:type="dxa"/>
          </w:tcPr>
          <w:p w14:paraId="54957A58" w14:textId="77777777" w:rsidR="002A0CBC" w:rsidRPr="002A0CBC" w:rsidRDefault="002A0CBC" w:rsidP="002A0CBC">
            <w:pPr>
              <w:pStyle w:val="Geenafstand"/>
            </w:pPr>
          </w:p>
        </w:tc>
        <w:tc>
          <w:tcPr>
            <w:tcW w:w="227" w:type="dxa"/>
          </w:tcPr>
          <w:p w14:paraId="05835CC9" w14:textId="77777777" w:rsidR="002A0CBC" w:rsidRPr="002A0CBC" w:rsidRDefault="002A0CBC" w:rsidP="002A0CBC">
            <w:pPr>
              <w:pStyle w:val="Geenafstand"/>
            </w:pPr>
          </w:p>
        </w:tc>
        <w:tc>
          <w:tcPr>
            <w:tcW w:w="1162" w:type="dxa"/>
          </w:tcPr>
          <w:p w14:paraId="1B8B4431" w14:textId="77777777" w:rsidR="002A0CBC" w:rsidRPr="002A0CBC" w:rsidRDefault="002A0CBC" w:rsidP="002A0CBC">
            <w:pPr>
              <w:pStyle w:val="Geenafstand"/>
            </w:pPr>
          </w:p>
        </w:tc>
        <w:tc>
          <w:tcPr>
            <w:tcW w:w="2939" w:type="dxa"/>
          </w:tcPr>
          <w:p w14:paraId="48C3D5FB" w14:textId="77777777" w:rsidR="002A0CBC" w:rsidRPr="002A0CBC" w:rsidRDefault="002A0CBC" w:rsidP="002A0CBC">
            <w:pPr>
              <w:pStyle w:val="Geenafstand"/>
            </w:pPr>
            <w:proofErr w:type="spellStart"/>
            <w:r w:rsidRPr="002A0CBC">
              <w:t>total</w:t>
            </w:r>
            <w:proofErr w:type="spellEnd"/>
          </w:p>
        </w:tc>
        <w:tc>
          <w:tcPr>
            <w:tcW w:w="157" w:type="dxa"/>
          </w:tcPr>
          <w:p w14:paraId="1BF4D148" w14:textId="77777777" w:rsidR="002A0CBC" w:rsidRPr="002A0CBC" w:rsidRDefault="002A0CBC" w:rsidP="002A0CBC">
            <w:pPr>
              <w:pStyle w:val="Geenafstand"/>
            </w:pPr>
            <w:r w:rsidRPr="002A0CBC">
              <w:t>€</w:t>
            </w:r>
          </w:p>
        </w:tc>
        <w:tc>
          <w:tcPr>
            <w:tcW w:w="758" w:type="dxa"/>
            <w:tcBorders>
              <w:top w:val="single" w:sz="4" w:space="0" w:color="auto"/>
              <w:bottom w:val="single" w:sz="4" w:space="0" w:color="auto"/>
            </w:tcBorders>
          </w:tcPr>
          <w:p w14:paraId="1A0D7B7E" w14:textId="05FEE58F" w:rsidR="002A0CBC" w:rsidRPr="002A0CBC" w:rsidRDefault="002A0CBC" w:rsidP="002A0CBC">
            <w:pPr>
              <w:pStyle w:val="Geenafstand"/>
            </w:pPr>
            <w:r w:rsidRPr="002A0CBC">
              <w:t> 26,1</w:t>
            </w:r>
            <w:r w:rsidR="005E4A4F">
              <w:t>54</w:t>
            </w:r>
          </w:p>
        </w:tc>
        <w:tc>
          <w:tcPr>
            <w:tcW w:w="169" w:type="dxa"/>
          </w:tcPr>
          <w:p w14:paraId="12475D6E" w14:textId="77777777" w:rsidR="002A0CBC" w:rsidRPr="002A0CBC" w:rsidRDefault="002A0CBC" w:rsidP="002A0CBC">
            <w:pPr>
              <w:pStyle w:val="Geenafstand"/>
            </w:pPr>
          </w:p>
        </w:tc>
      </w:tr>
      <w:tr w:rsidR="005E4A4F" w:rsidRPr="002A0CBC" w14:paraId="48EB95B4" w14:textId="77777777" w:rsidTr="008F458B">
        <w:tc>
          <w:tcPr>
            <w:tcW w:w="454" w:type="dxa"/>
          </w:tcPr>
          <w:p w14:paraId="562B2150" w14:textId="77777777" w:rsidR="005E4A4F" w:rsidRPr="002A0CBC" w:rsidRDefault="005E4A4F" w:rsidP="002A0CBC">
            <w:pPr>
              <w:pStyle w:val="Geenafstand"/>
            </w:pPr>
          </w:p>
        </w:tc>
        <w:tc>
          <w:tcPr>
            <w:tcW w:w="227" w:type="dxa"/>
          </w:tcPr>
          <w:p w14:paraId="4FA9D4E0" w14:textId="77777777" w:rsidR="005E4A4F" w:rsidRPr="002A0CBC" w:rsidRDefault="005E4A4F" w:rsidP="002A0CBC">
            <w:pPr>
              <w:pStyle w:val="Geenafstand"/>
            </w:pPr>
          </w:p>
        </w:tc>
        <w:tc>
          <w:tcPr>
            <w:tcW w:w="1162" w:type="dxa"/>
          </w:tcPr>
          <w:p w14:paraId="415874E9" w14:textId="77777777" w:rsidR="005E4A4F" w:rsidRPr="002A0CBC" w:rsidRDefault="005E4A4F" w:rsidP="002A0CBC">
            <w:pPr>
              <w:pStyle w:val="Geenafstand"/>
            </w:pPr>
          </w:p>
        </w:tc>
        <w:tc>
          <w:tcPr>
            <w:tcW w:w="2939" w:type="dxa"/>
          </w:tcPr>
          <w:p w14:paraId="7989D8D2" w14:textId="0EAE2838" w:rsidR="005E4A4F" w:rsidRPr="002A0CBC" w:rsidRDefault="005E4A4F" w:rsidP="002A0CBC">
            <w:pPr>
              <w:pStyle w:val="Geenafstand"/>
            </w:pPr>
            <w:r w:rsidRPr="005E4A4F">
              <w:rPr>
                <w:lang w:val="en-GB"/>
              </w:rPr>
              <w:t>tax credits</w:t>
            </w:r>
          </w:p>
        </w:tc>
        <w:tc>
          <w:tcPr>
            <w:tcW w:w="157" w:type="dxa"/>
          </w:tcPr>
          <w:p w14:paraId="384FE9C0" w14:textId="24F8368F" w:rsidR="005E4A4F" w:rsidRPr="002A0CBC" w:rsidRDefault="005E4A4F" w:rsidP="002A0CBC">
            <w:pPr>
              <w:pStyle w:val="Geenafstand"/>
            </w:pPr>
            <w:r>
              <w:t>€</w:t>
            </w:r>
          </w:p>
        </w:tc>
        <w:tc>
          <w:tcPr>
            <w:tcW w:w="758" w:type="dxa"/>
            <w:tcBorders>
              <w:top w:val="single" w:sz="4" w:space="0" w:color="auto"/>
              <w:bottom w:val="single" w:sz="4" w:space="0" w:color="auto"/>
            </w:tcBorders>
          </w:tcPr>
          <w:p w14:paraId="6CC72F28" w14:textId="54705C85" w:rsidR="005E4A4F" w:rsidRPr="002A0CBC" w:rsidRDefault="005E4A4F" w:rsidP="002A0CBC">
            <w:pPr>
              <w:pStyle w:val="Geenafstand"/>
            </w:pPr>
            <w:r>
              <w:t xml:space="preserve">   2,200</w:t>
            </w:r>
          </w:p>
        </w:tc>
        <w:tc>
          <w:tcPr>
            <w:tcW w:w="169" w:type="dxa"/>
          </w:tcPr>
          <w:p w14:paraId="30690B84" w14:textId="5C70D04F" w:rsidR="005E4A4F" w:rsidRPr="002A0CBC" w:rsidRDefault="005E4A4F" w:rsidP="002A0CBC">
            <w:pPr>
              <w:pStyle w:val="Geenafstand"/>
            </w:pPr>
            <w:r>
              <w:t>–</w:t>
            </w:r>
          </w:p>
        </w:tc>
      </w:tr>
      <w:tr w:rsidR="005E4A4F" w:rsidRPr="002A0CBC" w14:paraId="4E63E8C8" w14:textId="77777777" w:rsidTr="005E4A4F">
        <w:tc>
          <w:tcPr>
            <w:tcW w:w="454" w:type="dxa"/>
          </w:tcPr>
          <w:p w14:paraId="705A918F" w14:textId="77777777" w:rsidR="005E4A4F" w:rsidRPr="002A0CBC" w:rsidRDefault="005E4A4F" w:rsidP="002A0CBC">
            <w:pPr>
              <w:pStyle w:val="Geenafstand"/>
            </w:pPr>
          </w:p>
        </w:tc>
        <w:tc>
          <w:tcPr>
            <w:tcW w:w="227" w:type="dxa"/>
          </w:tcPr>
          <w:p w14:paraId="5D8EFE01" w14:textId="77777777" w:rsidR="005E4A4F" w:rsidRPr="002A0CBC" w:rsidRDefault="005E4A4F" w:rsidP="002A0CBC">
            <w:pPr>
              <w:pStyle w:val="Geenafstand"/>
            </w:pPr>
          </w:p>
        </w:tc>
        <w:tc>
          <w:tcPr>
            <w:tcW w:w="1162" w:type="dxa"/>
          </w:tcPr>
          <w:p w14:paraId="51B34B4C" w14:textId="77777777" w:rsidR="005E4A4F" w:rsidRPr="002A0CBC" w:rsidRDefault="005E4A4F" w:rsidP="002A0CBC">
            <w:pPr>
              <w:pStyle w:val="Geenafstand"/>
            </w:pPr>
          </w:p>
        </w:tc>
        <w:tc>
          <w:tcPr>
            <w:tcW w:w="2939" w:type="dxa"/>
          </w:tcPr>
          <w:p w14:paraId="665C81C4" w14:textId="713C16BF" w:rsidR="005E4A4F" w:rsidRPr="002A0CBC" w:rsidRDefault="005E4A4F" w:rsidP="002A0CBC">
            <w:pPr>
              <w:pStyle w:val="Geenafstand"/>
            </w:pPr>
            <w:proofErr w:type="spellStart"/>
            <w:r>
              <w:t>to</w:t>
            </w:r>
            <w:proofErr w:type="spellEnd"/>
            <w:r>
              <w:t xml:space="preserve"> </w:t>
            </w:r>
            <w:proofErr w:type="spellStart"/>
            <w:r>
              <w:t>pay</w:t>
            </w:r>
            <w:proofErr w:type="spellEnd"/>
          </w:p>
        </w:tc>
        <w:tc>
          <w:tcPr>
            <w:tcW w:w="157" w:type="dxa"/>
          </w:tcPr>
          <w:p w14:paraId="05EB3045" w14:textId="24182262" w:rsidR="005E4A4F" w:rsidRPr="002A0CBC" w:rsidRDefault="005E4A4F" w:rsidP="002A0CBC">
            <w:pPr>
              <w:pStyle w:val="Geenafstand"/>
            </w:pPr>
            <w:r>
              <w:t>€</w:t>
            </w:r>
          </w:p>
        </w:tc>
        <w:tc>
          <w:tcPr>
            <w:tcW w:w="758" w:type="dxa"/>
            <w:tcBorders>
              <w:top w:val="single" w:sz="4" w:space="0" w:color="auto"/>
            </w:tcBorders>
          </w:tcPr>
          <w:p w14:paraId="2AA78868" w14:textId="633570B0" w:rsidR="005E4A4F" w:rsidRPr="002A0CBC" w:rsidRDefault="005E4A4F" w:rsidP="002A0CBC">
            <w:pPr>
              <w:pStyle w:val="Geenafstand"/>
            </w:pPr>
            <w:r>
              <w:t xml:space="preserve"> 23,954</w:t>
            </w:r>
          </w:p>
        </w:tc>
        <w:tc>
          <w:tcPr>
            <w:tcW w:w="169" w:type="dxa"/>
          </w:tcPr>
          <w:p w14:paraId="7828C03D" w14:textId="77777777" w:rsidR="005E4A4F" w:rsidRPr="002A0CBC" w:rsidRDefault="005E4A4F" w:rsidP="002A0CBC">
            <w:pPr>
              <w:pStyle w:val="Geenafstand"/>
            </w:pPr>
          </w:p>
        </w:tc>
      </w:tr>
    </w:tbl>
    <w:p w14:paraId="35575E63" w14:textId="77777777" w:rsidR="002A0CBC" w:rsidRPr="002A0CBC" w:rsidRDefault="002A0CBC" w:rsidP="002A0CBC">
      <w:pPr>
        <w:pStyle w:val="Geenafstand"/>
      </w:pPr>
    </w:p>
    <w:p w14:paraId="73CCD4FA" w14:textId="0F42FC7D" w:rsidR="002A0CBC" w:rsidRPr="002A0CBC" w:rsidRDefault="002A0CBC" w:rsidP="002A0CBC">
      <w:pPr>
        <w:pStyle w:val="Geenafstand"/>
      </w:pPr>
      <w:r w:rsidRPr="002A0CBC">
        <w:t>c.</w:t>
      </w:r>
      <w:r w:rsidRPr="002A0CBC">
        <w:tab/>
        <w:t>2</w:t>
      </w:r>
      <w:r w:rsidR="005E4A4F">
        <w:t>3</w:t>
      </w:r>
      <w:r w:rsidRPr="002A0CBC">
        <w:t>,</w:t>
      </w:r>
      <w:r w:rsidR="005E4A4F">
        <w:t>954</w:t>
      </w:r>
      <w:r w:rsidRPr="002A0CBC">
        <w:t xml:space="preserve"> / 70,000 × 100% = 3</w:t>
      </w:r>
      <w:r w:rsidR="005E4A4F">
        <w:t>4</w:t>
      </w:r>
      <w:r w:rsidRPr="002A0CBC">
        <w:t>.</w:t>
      </w:r>
      <w:r w:rsidR="005E4A4F">
        <w:t>2</w:t>
      </w:r>
      <w:r w:rsidRPr="002A0CBC">
        <w:t>%.</w:t>
      </w:r>
    </w:p>
    <w:p w14:paraId="141372EF" w14:textId="77777777" w:rsidR="002A0CBC" w:rsidRPr="002A0CBC" w:rsidRDefault="002A0CBC" w:rsidP="002A0CBC">
      <w:pPr>
        <w:pStyle w:val="Geenafstand"/>
      </w:pPr>
    </w:p>
    <w:p w14:paraId="492CF4E5" w14:textId="77777777" w:rsidR="002A0CBC" w:rsidRPr="002A0CBC" w:rsidRDefault="002A0CBC" w:rsidP="002A0CBC">
      <w:pPr>
        <w:pStyle w:val="Geenafstand"/>
      </w:pPr>
      <w:proofErr w:type="spellStart"/>
      <w:r w:rsidRPr="002A0CBC">
        <w:t>Assignment</w:t>
      </w:r>
      <w:proofErr w:type="spellEnd"/>
      <w:r w:rsidRPr="002A0CBC">
        <w:t xml:space="preserve"> 2.3</w:t>
      </w:r>
    </w:p>
    <w:p w14:paraId="5CBBC643" w14:textId="77777777" w:rsidR="002A0CBC" w:rsidRPr="002A0CBC" w:rsidRDefault="002A0CBC" w:rsidP="002A0CBC">
      <w:pPr>
        <w:pStyle w:val="Geenafstand"/>
      </w:pPr>
      <w:r w:rsidRPr="002A0CBC">
        <w:t>a.</w:t>
      </w:r>
      <w:r w:rsidRPr="002A0CBC">
        <w:tab/>
        <w:t>2,358 / 1,785 × 100% = 132.1%.</w:t>
      </w:r>
    </w:p>
    <w:p w14:paraId="2AB1E6B6" w14:textId="77777777" w:rsidR="002A0CBC" w:rsidRPr="005E4A4F" w:rsidRDefault="002A0CBC" w:rsidP="002A0CBC">
      <w:pPr>
        <w:pStyle w:val="Geenafstand"/>
        <w:rPr>
          <w:lang w:val="en-GB"/>
        </w:rPr>
      </w:pPr>
      <w:r w:rsidRPr="005E4A4F">
        <w:rPr>
          <w:lang w:val="en-GB"/>
        </w:rPr>
        <w:t>b.</w:t>
      </w:r>
      <w:r w:rsidRPr="005E4A4F">
        <w:rPr>
          <w:lang w:val="en-GB"/>
        </w:rPr>
        <w:tab/>
        <w:t>The national debt must not exceed 60% of the national income.</w:t>
      </w:r>
    </w:p>
    <w:p w14:paraId="05EC9CF4" w14:textId="77777777" w:rsidR="002A0CBC" w:rsidRPr="005E4A4F" w:rsidRDefault="002A0CBC" w:rsidP="002A0CBC">
      <w:pPr>
        <w:pStyle w:val="Geenafstand"/>
        <w:rPr>
          <w:lang w:val="en-GB"/>
        </w:rPr>
      </w:pPr>
      <w:r w:rsidRPr="005E4A4F">
        <w:rPr>
          <w:lang w:val="en-GB"/>
        </w:rPr>
        <w:t>c.</w:t>
      </w:r>
      <w:r w:rsidRPr="005E4A4F">
        <w:rPr>
          <w:lang w:val="en-GB"/>
        </w:rPr>
        <w:tab/>
        <w:t>(income – 312.3) / 1,785 × 100% = -2.1%</w:t>
      </w:r>
    </w:p>
    <w:p w14:paraId="614DDF08" w14:textId="77777777" w:rsidR="002A0CBC" w:rsidRPr="005E4A4F" w:rsidRDefault="002A0CBC" w:rsidP="002A0CBC">
      <w:pPr>
        <w:pStyle w:val="Geenafstand"/>
        <w:rPr>
          <w:lang w:val="en-GB"/>
        </w:rPr>
      </w:pPr>
      <w:r w:rsidRPr="005E4A4F">
        <w:rPr>
          <w:lang w:val="en-GB"/>
        </w:rPr>
        <w:tab/>
        <w:t>(income – 312.3) / 1,785 = -0.021</w:t>
      </w:r>
    </w:p>
    <w:p w14:paraId="03721E10" w14:textId="77777777" w:rsidR="002A0CBC" w:rsidRPr="005E4A4F" w:rsidRDefault="002A0CBC" w:rsidP="002A0CBC">
      <w:pPr>
        <w:pStyle w:val="Geenafstand"/>
        <w:rPr>
          <w:lang w:val="en-GB"/>
        </w:rPr>
      </w:pPr>
      <w:r w:rsidRPr="005E4A4F">
        <w:rPr>
          <w:lang w:val="en-GB"/>
        </w:rPr>
        <w:tab/>
        <w:t>(income – 312.3) = 1,785 × -0.021 = -37.485</w:t>
      </w:r>
    </w:p>
    <w:p w14:paraId="4BF7EB5B" w14:textId="77777777" w:rsidR="002A0CBC" w:rsidRPr="005E4A4F" w:rsidRDefault="002A0CBC" w:rsidP="002A0CBC">
      <w:pPr>
        <w:pStyle w:val="Geenafstand"/>
        <w:rPr>
          <w:lang w:val="en-GB"/>
        </w:rPr>
      </w:pPr>
      <w:r w:rsidRPr="005E4A4F">
        <w:rPr>
          <w:lang w:val="en-GB"/>
        </w:rPr>
        <w:tab/>
        <w:t>Income = 312.3 – 37.485 = €274.815 billion.</w:t>
      </w:r>
      <w:bookmarkStart w:id="0" w:name="_GoBack"/>
      <w:bookmarkEnd w:id="0"/>
    </w:p>
    <w:sectPr w:rsidR="002A0CBC" w:rsidRPr="005E4A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FD4E4" w14:textId="77777777" w:rsidR="000828F4" w:rsidRDefault="000828F4" w:rsidP="00763BEC">
      <w:pPr>
        <w:spacing w:after="0" w:line="240" w:lineRule="auto"/>
      </w:pPr>
      <w:r>
        <w:separator/>
      </w:r>
    </w:p>
  </w:endnote>
  <w:endnote w:type="continuationSeparator" w:id="0">
    <w:p w14:paraId="418AFD7D" w14:textId="77777777" w:rsidR="000828F4" w:rsidRDefault="000828F4" w:rsidP="0076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1972" w14:textId="77777777" w:rsidR="000828F4" w:rsidRDefault="000828F4" w:rsidP="00763BEC">
      <w:pPr>
        <w:spacing w:after="0" w:line="240" w:lineRule="auto"/>
      </w:pPr>
      <w:r>
        <w:separator/>
      </w:r>
    </w:p>
  </w:footnote>
  <w:footnote w:type="continuationSeparator" w:id="0">
    <w:p w14:paraId="12A2DD02" w14:textId="77777777" w:rsidR="000828F4" w:rsidRDefault="000828F4" w:rsidP="00763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9A30" w14:textId="77777777" w:rsidR="00763BEC" w:rsidRPr="00763BEC" w:rsidRDefault="00763BEC" w:rsidP="00763BEC">
    <w:pPr>
      <w:pStyle w:val="Koptekst"/>
      <w:jc w:val="right"/>
      <w:rPr>
        <w:rFonts w:ascii="Arial" w:hAnsi="Arial" w:cs="Arial"/>
        <w:sz w:val="16"/>
        <w:szCs w:val="16"/>
      </w:rPr>
    </w:pPr>
    <w:r w:rsidRPr="00452A47">
      <w:rPr>
        <w:noProof/>
        <w:sz w:val="20"/>
        <w:szCs w:val="20"/>
        <w:lang w:eastAsia="nl-NL"/>
      </w:rPr>
      <w:drawing>
        <wp:inline distT="0" distB="0" distL="0" distR="0" wp14:anchorId="13B3F53E" wp14:editId="79D4072A">
          <wp:extent cx="342900" cy="34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 xml:space="preserve">Society </w:t>
    </w:r>
    <w:proofErr w:type="spellStart"/>
    <w:r>
      <w:rPr>
        <w:rFonts w:ascii="Arial" w:hAnsi="Arial" w:cs="Arial"/>
        <w:sz w:val="16"/>
        <w:szCs w:val="16"/>
      </w:rPr>
      <w:t>chapter</w:t>
    </w:r>
    <w:proofErr w:type="spellEnd"/>
    <w:r>
      <w:rPr>
        <w:rFonts w:ascii="Arial" w:hAnsi="Arial" w:cs="Arial"/>
        <w:sz w:val="16"/>
        <w:szCs w:val="16"/>
      </w:rPr>
      <w:t xml:space="preserve"> 2</w:t>
    </w:r>
    <w:r w:rsidRPr="00BE1329">
      <w:rPr>
        <w:rFonts w:ascii="Arial" w:hAnsi="Arial" w:cs="Arial"/>
        <w:sz w:val="16"/>
        <w:szCs w:val="16"/>
      </w:rPr>
      <w:t xml:space="preserve"> </w:t>
    </w:r>
    <w:r w:rsidR="002A0CBC">
      <w:rPr>
        <w:rFonts w:ascii="Arial" w:hAnsi="Arial" w:cs="Arial"/>
        <w:sz w:val="16"/>
        <w:szCs w:val="16"/>
      </w:rPr>
      <w:t xml:space="preserve">extra </w:t>
    </w:r>
    <w:proofErr w:type="spellStart"/>
    <w:r w:rsidRPr="00BE1329">
      <w:rPr>
        <w:rFonts w:ascii="Arial" w:hAnsi="Arial" w:cs="Arial"/>
        <w:sz w:val="16"/>
        <w:szCs w:val="16"/>
      </w:rPr>
      <w:t>ex</w:t>
    </w:r>
    <w:r>
      <w:rPr>
        <w:rFonts w:ascii="Arial" w:hAnsi="Arial" w:cs="Arial"/>
        <w:sz w:val="16"/>
        <w:szCs w:val="16"/>
      </w:rPr>
      <w:t>ercises</w:t>
    </w:r>
    <w:proofErr w:type="spellEnd"/>
    <w:r w:rsidRPr="00BE1329">
      <w:rPr>
        <w:rFonts w:ascii="Arial" w:hAnsi="Arial" w:cs="Arial"/>
        <w:sz w:val="16"/>
        <w:szCs w:val="16"/>
      </w:rPr>
      <w:t xml:space="preserve"> (website)</w:t>
    </w:r>
    <w:r>
      <w:rPr>
        <w:rFonts w:ascii="Arial" w:hAnsi="Arial" w:cs="Arial"/>
        <w:sz w:val="16"/>
        <w:szCs w:val="16"/>
      </w:rPr>
      <w:tab/>
    </w:r>
    <w:r>
      <w:rPr>
        <w:rFonts w:ascii="Arial" w:hAnsi="Arial" w:cs="Arial"/>
        <w:sz w:val="16"/>
        <w:szCs w:val="16"/>
      </w:rPr>
      <w:tab/>
    </w:r>
    <w:r w:rsidRPr="00452A47">
      <w:rPr>
        <w:rFonts w:ascii="Arial" w:hAnsi="Arial" w:cs="Arial"/>
        <w:sz w:val="16"/>
        <w:szCs w:val="16"/>
      </w:rPr>
      <w:fldChar w:fldCharType="begin"/>
    </w:r>
    <w:r w:rsidRPr="00452A47">
      <w:rPr>
        <w:rFonts w:ascii="Arial" w:hAnsi="Arial" w:cs="Arial"/>
        <w:sz w:val="16"/>
        <w:szCs w:val="16"/>
      </w:rPr>
      <w:instrText>PAGE   \* MERGEFORMAT</w:instrText>
    </w:r>
    <w:r w:rsidRPr="00452A47">
      <w:rPr>
        <w:rFonts w:ascii="Arial" w:hAnsi="Arial" w:cs="Arial"/>
        <w:sz w:val="16"/>
        <w:szCs w:val="16"/>
      </w:rPr>
      <w:fldChar w:fldCharType="separate"/>
    </w:r>
    <w:r w:rsidR="008F458B">
      <w:rPr>
        <w:rFonts w:ascii="Arial" w:hAnsi="Arial" w:cs="Arial"/>
        <w:noProof/>
        <w:sz w:val="16"/>
        <w:szCs w:val="16"/>
      </w:rPr>
      <w:t>1</w:t>
    </w:r>
    <w:r w:rsidRPr="00452A47">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3E3"/>
    <w:multiLevelType w:val="hybridMultilevel"/>
    <w:tmpl w:val="C6205F4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513F75"/>
    <w:multiLevelType w:val="hybridMultilevel"/>
    <w:tmpl w:val="C2BACB66"/>
    <w:lvl w:ilvl="0" w:tplc="0E7E644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825638"/>
    <w:multiLevelType w:val="hybridMultilevel"/>
    <w:tmpl w:val="B906A1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2AC0"/>
    <w:multiLevelType w:val="hybridMultilevel"/>
    <w:tmpl w:val="81C60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B301E"/>
    <w:multiLevelType w:val="hybridMultilevel"/>
    <w:tmpl w:val="590CA446"/>
    <w:lvl w:ilvl="0" w:tplc="0E7E6446">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9F157E"/>
    <w:multiLevelType w:val="hybridMultilevel"/>
    <w:tmpl w:val="F1700CE0"/>
    <w:lvl w:ilvl="0" w:tplc="5F80303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071C9"/>
    <w:multiLevelType w:val="hybridMultilevel"/>
    <w:tmpl w:val="AF0E475E"/>
    <w:lvl w:ilvl="0" w:tplc="0E7E644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B060B9"/>
    <w:multiLevelType w:val="hybridMultilevel"/>
    <w:tmpl w:val="08F4D1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60"/>
    <w:rsid w:val="000751E2"/>
    <w:rsid w:val="000828F4"/>
    <w:rsid w:val="000B00B1"/>
    <w:rsid w:val="001F72FE"/>
    <w:rsid w:val="002206C0"/>
    <w:rsid w:val="002216A9"/>
    <w:rsid w:val="002958F5"/>
    <w:rsid w:val="002A0CBC"/>
    <w:rsid w:val="002B67D8"/>
    <w:rsid w:val="002C756F"/>
    <w:rsid w:val="00306301"/>
    <w:rsid w:val="00374CCC"/>
    <w:rsid w:val="003B7B86"/>
    <w:rsid w:val="004A06A8"/>
    <w:rsid w:val="00502C60"/>
    <w:rsid w:val="0053028F"/>
    <w:rsid w:val="005517C4"/>
    <w:rsid w:val="005E4A4F"/>
    <w:rsid w:val="00676A6E"/>
    <w:rsid w:val="00681396"/>
    <w:rsid w:val="006C718A"/>
    <w:rsid w:val="00763BEC"/>
    <w:rsid w:val="007766CD"/>
    <w:rsid w:val="007A0FC1"/>
    <w:rsid w:val="008F458B"/>
    <w:rsid w:val="00905202"/>
    <w:rsid w:val="00983F5F"/>
    <w:rsid w:val="009C157B"/>
    <w:rsid w:val="009D4F06"/>
    <w:rsid w:val="00B708C7"/>
    <w:rsid w:val="00D967A3"/>
    <w:rsid w:val="00DE5477"/>
    <w:rsid w:val="00EC4AAA"/>
    <w:rsid w:val="00ED6D60"/>
    <w:rsid w:val="00F15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DA08"/>
  <w15:docId w15:val="{A6BA107A-1030-464B-A923-EB3FF3DF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C60"/>
  </w:style>
  <w:style w:type="paragraph" w:styleId="Kop2">
    <w:name w:val="heading 2"/>
    <w:basedOn w:val="Standaard"/>
    <w:next w:val="Standaard"/>
    <w:link w:val="Kop2Char"/>
    <w:uiPriority w:val="9"/>
    <w:unhideWhenUsed/>
    <w:qFormat/>
    <w:rsid w:val="002A0C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2A0C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02C60"/>
    <w:pPr>
      <w:spacing w:after="0" w:line="240" w:lineRule="auto"/>
    </w:pPr>
  </w:style>
  <w:style w:type="paragraph" w:styleId="Ballontekst">
    <w:name w:val="Balloon Text"/>
    <w:basedOn w:val="Standaard"/>
    <w:link w:val="BallontekstChar"/>
    <w:uiPriority w:val="99"/>
    <w:semiHidden/>
    <w:unhideWhenUsed/>
    <w:rsid w:val="00502C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C60"/>
    <w:rPr>
      <w:rFonts w:ascii="Tahoma" w:hAnsi="Tahoma" w:cs="Tahoma"/>
      <w:sz w:val="16"/>
      <w:szCs w:val="16"/>
    </w:rPr>
  </w:style>
  <w:style w:type="paragraph" w:styleId="Koptekst">
    <w:name w:val="header"/>
    <w:basedOn w:val="Standaard"/>
    <w:link w:val="KoptekstChar"/>
    <w:uiPriority w:val="99"/>
    <w:unhideWhenUsed/>
    <w:rsid w:val="00763B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3BEC"/>
  </w:style>
  <w:style w:type="paragraph" w:styleId="Voettekst">
    <w:name w:val="footer"/>
    <w:basedOn w:val="Standaard"/>
    <w:link w:val="VoettekstChar"/>
    <w:uiPriority w:val="99"/>
    <w:unhideWhenUsed/>
    <w:rsid w:val="00763B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3BEC"/>
  </w:style>
  <w:style w:type="table" w:customStyle="1" w:styleId="Tabelraster2">
    <w:name w:val="Tabelraster2"/>
    <w:basedOn w:val="Standaardtabel"/>
    <w:next w:val="Tabelraster"/>
    <w:rsid w:val="002A0CBC"/>
    <w:pPr>
      <w:spacing w:after="0" w:line="240" w:lineRule="auto"/>
    </w:pPr>
    <w:rPr>
      <w:rFonts w:ascii="Times New Roman" w:eastAsia="MS Mincho"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2Char">
    <w:name w:val="Kop 2 Char"/>
    <w:basedOn w:val="Standaardalinea-lettertype"/>
    <w:link w:val="Kop2"/>
    <w:uiPriority w:val="9"/>
    <w:rsid w:val="002A0CBC"/>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2A0CBC"/>
    <w:rPr>
      <w:rFonts w:asciiTheme="majorHAnsi" w:eastAsiaTheme="majorEastAsia" w:hAnsiTheme="majorHAnsi" w:cstheme="majorBidi"/>
      <w:color w:val="243F60" w:themeColor="accent1" w:themeShade="7F"/>
      <w:sz w:val="24"/>
      <w:szCs w:val="24"/>
    </w:rPr>
  </w:style>
  <w:style w:type="paragraph" w:styleId="Revisie">
    <w:name w:val="Revision"/>
    <w:hidden/>
    <w:uiPriority w:val="99"/>
    <w:semiHidden/>
    <w:rsid w:val="005E4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dc:title>
  <dc:creator>LWEO</dc:creator>
  <cp:lastModifiedBy>LWEO</cp:lastModifiedBy>
  <cp:revision>3</cp:revision>
  <cp:lastPrinted>2018-12-11T11:31:00Z</cp:lastPrinted>
  <dcterms:created xsi:type="dcterms:W3CDTF">2021-12-09T08:49:00Z</dcterms:created>
  <dcterms:modified xsi:type="dcterms:W3CDTF">2021-12-13T12:50:00Z</dcterms:modified>
</cp:coreProperties>
</file>