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0C5E" w14:textId="77777777" w:rsidR="0089169A" w:rsidRPr="000D0CDF" w:rsidRDefault="00334C38" w:rsidP="0089169A">
      <w:pPr>
        <w:rPr>
          <w:b/>
        </w:rPr>
      </w:pPr>
      <w:r>
        <w:rPr>
          <w:b/>
        </w:rPr>
        <w:t>Opdracht 1</w:t>
      </w:r>
      <w:r w:rsidR="0089169A" w:rsidRPr="000D0CDF">
        <w:rPr>
          <w:b/>
        </w:rPr>
        <w:t>.1</w:t>
      </w:r>
    </w:p>
    <w:p w14:paraId="22DC3416" w14:textId="3C5006AA" w:rsidR="0089169A" w:rsidRDefault="0089169A" w:rsidP="0089169A">
      <w:r>
        <w:t>De resultatenrekeningen van bakker Herman ziet er als volgt uit.</w:t>
      </w:r>
    </w:p>
    <w:p w14:paraId="651C6A24" w14:textId="77777777" w:rsidR="00E4088A" w:rsidRDefault="00E4088A" w:rsidP="0089169A"/>
    <w:tbl>
      <w:tblPr>
        <w:tblStyle w:val="Tabelraster"/>
        <w:tblW w:w="0" w:type="auto"/>
        <w:tblLayout w:type="fixed"/>
        <w:tblLook w:val="04A0" w:firstRow="1" w:lastRow="0" w:firstColumn="1" w:lastColumn="0" w:noHBand="0" w:noVBand="1"/>
      </w:tblPr>
      <w:tblGrid>
        <w:gridCol w:w="2694"/>
        <w:gridCol w:w="336"/>
        <w:gridCol w:w="1223"/>
        <w:gridCol w:w="1985"/>
        <w:gridCol w:w="429"/>
        <w:gridCol w:w="13"/>
        <w:gridCol w:w="1826"/>
      </w:tblGrid>
      <w:tr w:rsidR="0089169A" w:rsidRPr="007F6E36" w14:paraId="2C7A8448" w14:textId="77777777" w:rsidTr="0003244C">
        <w:tc>
          <w:tcPr>
            <w:tcW w:w="2694" w:type="dxa"/>
            <w:tcBorders>
              <w:top w:val="nil"/>
              <w:left w:val="nil"/>
              <w:bottom w:val="single" w:sz="8" w:space="0" w:color="000000" w:themeColor="text1"/>
              <w:right w:val="nil"/>
            </w:tcBorders>
          </w:tcPr>
          <w:p w14:paraId="74C703D6" w14:textId="77777777" w:rsidR="0089169A" w:rsidRPr="007F6E36" w:rsidRDefault="0089169A" w:rsidP="00E73334">
            <w:pPr>
              <w:rPr>
                <w:b/>
              </w:rPr>
            </w:pPr>
            <w:r w:rsidRPr="007F6E36">
              <w:rPr>
                <w:b/>
              </w:rPr>
              <w:t>Kosten</w:t>
            </w:r>
          </w:p>
        </w:tc>
        <w:tc>
          <w:tcPr>
            <w:tcW w:w="3986" w:type="dxa"/>
            <w:gridSpan w:val="5"/>
            <w:tcBorders>
              <w:top w:val="nil"/>
              <w:left w:val="nil"/>
              <w:bottom w:val="single" w:sz="8" w:space="0" w:color="000000" w:themeColor="text1"/>
              <w:right w:val="nil"/>
            </w:tcBorders>
          </w:tcPr>
          <w:p w14:paraId="11EB0C66" w14:textId="5AE34F72" w:rsidR="0089169A" w:rsidRPr="007F6E36" w:rsidRDefault="0089169A" w:rsidP="00E73334">
            <w:pPr>
              <w:rPr>
                <w:b/>
              </w:rPr>
            </w:pPr>
            <w:r w:rsidRPr="007F6E36">
              <w:rPr>
                <w:b/>
              </w:rPr>
              <w:t>Resultatenrekening 20</w:t>
            </w:r>
            <w:r w:rsidR="00E4088A">
              <w:rPr>
                <w:b/>
              </w:rPr>
              <w:t>2</w:t>
            </w:r>
            <w:r w:rsidR="00124B3C">
              <w:rPr>
                <w:b/>
              </w:rPr>
              <w:t>1</w:t>
            </w:r>
          </w:p>
        </w:tc>
        <w:tc>
          <w:tcPr>
            <w:tcW w:w="1826" w:type="dxa"/>
            <w:tcBorders>
              <w:top w:val="nil"/>
              <w:left w:val="nil"/>
              <w:bottom w:val="single" w:sz="8" w:space="0" w:color="000000" w:themeColor="text1"/>
              <w:right w:val="nil"/>
            </w:tcBorders>
          </w:tcPr>
          <w:p w14:paraId="01476F03" w14:textId="77777777" w:rsidR="0089169A" w:rsidRPr="007F6E36" w:rsidRDefault="0089169A" w:rsidP="00E73334">
            <w:pPr>
              <w:rPr>
                <w:b/>
              </w:rPr>
            </w:pPr>
            <w:r w:rsidRPr="007F6E36">
              <w:rPr>
                <w:b/>
              </w:rPr>
              <w:t>Opbrengsten</w:t>
            </w:r>
          </w:p>
        </w:tc>
      </w:tr>
      <w:tr w:rsidR="0089169A" w14:paraId="09EF439F" w14:textId="77777777" w:rsidTr="0003244C">
        <w:tc>
          <w:tcPr>
            <w:tcW w:w="2694" w:type="dxa"/>
            <w:tcBorders>
              <w:top w:val="single" w:sz="8" w:space="0" w:color="000000" w:themeColor="text1"/>
              <w:left w:val="nil"/>
              <w:bottom w:val="single" w:sz="4" w:space="0" w:color="000000" w:themeColor="text1"/>
              <w:right w:val="nil"/>
            </w:tcBorders>
          </w:tcPr>
          <w:p w14:paraId="73318EDA" w14:textId="77777777" w:rsidR="0089169A" w:rsidRDefault="0089169A" w:rsidP="00E73334">
            <w:r>
              <w:t>inkoop grondstoffen</w:t>
            </w:r>
          </w:p>
          <w:p w14:paraId="4F423E96" w14:textId="77777777" w:rsidR="0089169A" w:rsidRDefault="0089169A" w:rsidP="00E73334">
            <w:r>
              <w:t>inkoop energie</w:t>
            </w:r>
          </w:p>
          <w:p w14:paraId="3B67EC9D" w14:textId="77777777" w:rsidR="0089169A" w:rsidRDefault="0089169A" w:rsidP="00E73334">
            <w:r>
              <w:t>lonen</w:t>
            </w:r>
          </w:p>
          <w:p w14:paraId="1CED20FF" w14:textId="77777777" w:rsidR="0089169A" w:rsidRDefault="0089169A" w:rsidP="00E73334">
            <w:r>
              <w:t>rente</w:t>
            </w:r>
          </w:p>
          <w:p w14:paraId="5017A7EF" w14:textId="77777777" w:rsidR="0089169A" w:rsidRDefault="0089169A" w:rsidP="00E73334">
            <w:r>
              <w:t>huur</w:t>
            </w:r>
          </w:p>
          <w:p w14:paraId="369258BC" w14:textId="77777777" w:rsidR="0089169A" w:rsidRDefault="0089169A" w:rsidP="00E73334">
            <w:r>
              <w:t>winst</w:t>
            </w:r>
          </w:p>
        </w:tc>
        <w:tc>
          <w:tcPr>
            <w:tcW w:w="336" w:type="dxa"/>
            <w:tcBorders>
              <w:top w:val="single" w:sz="8" w:space="0" w:color="000000" w:themeColor="text1"/>
              <w:left w:val="nil"/>
              <w:bottom w:val="single" w:sz="4" w:space="0" w:color="000000" w:themeColor="text1"/>
              <w:right w:val="nil"/>
            </w:tcBorders>
          </w:tcPr>
          <w:p w14:paraId="27630721" w14:textId="77777777" w:rsidR="0089169A" w:rsidRDefault="0089169A" w:rsidP="00E73334">
            <w:r>
              <w:t>€</w:t>
            </w:r>
          </w:p>
          <w:p w14:paraId="1D1546DF" w14:textId="77777777" w:rsidR="0089169A" w:rsidRDefault="0089169A" w:rsidP="00E73334">
            <w:r>
              <w:t>€</w:t>
            </w:r>
          </w:p>
          <w:p w14:paraId="544C903C" w14:textId="77777777" w:rsidR="0089169A" w:rsidRDefault="0089169A" w:rsidP="00E73334">
            <w:r>
              <w:t>€</w:t>
            </w:r>
          </w:p>
          <w:p w14:paraId="1846229E" w14:textId="77777777" w:rsidR="0089169A" w:rsidRDefault="0089169A" w:rsidP="00E73334">
            <w:r>
              <w:t>€</w:t>
            </w:r>
          </w:p>
          <w:p w14:paraId="55AAD28D" w14:textId="77777777" w:rsidR="0089169A" w:rsidRDefault="0089169A" w:rsidP="00E73334">
            <w:r>
              <w:t>€</w:t>
            </w:r>
          </w:p>
          <w:p w14:paraId="155C4C2F" w14:textId="77777777" w:rsidR="0089169A" w:rsidRDefault="0089169A" w:rsidP="00E73334">
            <w:r>
              <w:t>€</w:t>
            </w:r>
          </w:p>
        </w:tc>
        <w:tc>
          <w:tcPr>
            <w:tcW w:w="1223" w:type="dxa"/>
            <w:tcBorders>
              <w:top w:val="single" w:sz="8" w:space="0" w:color="000000" w:themeColor="text1"/>
              <w:left w:val="nil"/>
              <w:bottom w:val="single" w:sz="4" w:space="0" w:color="000000" w:themeColor="text1"/>
              <w:right w:val="single" w:sz="8" w:space="0" w:color="000000" w:themeColor="text1"/>
            </w:tcBorders>
          </w:tcPr>
          <w:p w14:paraId="5EDCA0BE" w14:textId="77777777" w:rsidR="008B0ECC" w:rsidRDefault="0089169A" w:rsidP="008B0ECC">
            <w:pPr>
              <w:jc w:val="right"/>
            </w:pPr>
            <w:r>
              <w:t>28.000</w:t>
            </w:r>
          </w:p>
          <w:p w14:paraId="585CC017" w14:textId="77777777" w:rsidR="008B0ECC" w:rsidRDefault="0089169A" w:rsidP="008B0ECC">
            <w:pPr>
              <w:jc w:val="right"/>
            </w:pPr>
            <w:r>
              <w:t>8.000</w:t>
            </w:r>
          </w:p>
          <w:p w14:paraId="3B47A29B" w14:textId="77777777" w:rsidR="008B0ECC" w:rsidRDefault="0089169A" w:rsidP="008B0ECC">
            <w:pPr>
              <w:jc w:val="right"/>
            </w:pPr>
            <w:r>
              <w:t>24.000</w:t>
            </w:r>
          </w:p>
          <w:p w14:paraId="1654C554" w14:textId="77777777" w:rsidR="008B0ECC" w:rsidRDefault="0089169A" w:rsidP="008B0ECC">
            <w:pPr>
              <w:jc w:val="right"/>
            </w:pPr>
            <w:r>
              <w:t>14.000</w:t>
            </w:r>
          </w:p>
          <w:p w14:paraId="4C282861" w14:textId="77777777" w:rsidR="008B0ECC" w:rsidRDefault="0089169A" w:rsidP="008B0ECC">
            <w:pPr>
              <w:jc w:val="right"/>
            </w:pPr>
            <w:r>
              <w:t>12.000</w:t>
            </w:r>
          </w:p>
          <w:p w14:paraId="10E35C34" w14:textId="3BA1FEB6" w:rsidR="0089169A" w:rsidRDefault="0089169A" w:rsidP="008B0ECC">
            <w:pPr>
              <w:jc w:val="right"/>
            </w:pPr>
            <w:r>
              <w:t>……...</w:t>
            </w:r>
          </w:p>
        </w:tc>
        <w:tc>
          <w:tcPr>
            <w:tcW w:w="1985" w:type="dxa"/>
            <w:tcBorders>
              <w:top w:val="single" w:sz="8" w:space="0" w:color="000000" w:themeColor="text1"/>
              <w:left w:val="single" w:sz="8" w:space="0" w:color="000000" w:themeColor="text1"/>
              <w:bottom w:val="single" w:sz="4" w:space="0" w:color="000000" w:themeColor="text1"/>
              <w:right w:val="nil"/>
            </w:tcBorders>
          </w:tcPr>
          <w:p w14:paraId="723D26A7" w14:textId="77777777" w:rsidR="008B0ECC" w:rsidRDefault="0089169A" w:rsidP="008B0ECC">
            <w:r>
              <w:t>Omzet brood</w:t>
            </w:r>
          </w:p>
          <w:p w14:paraId="7D54E20C" w14:textId="2F00D219" w:rsidR="0089169A" w:rsidRDefault="0089169A" w:rsidP="008B0ECC">
            <w:r>
              <w:t>Omzet gebak</w:t>
            </w:r>
          </w:p>
        </w:tc>
        <w:tc>
          <w:tcPr>
            <w:tcW w:w="429" w:type="dxa"/>
            <w:tcBorders>
              <w:top w:val="single" w:sz="8" w:space="0" w:color="000000" w:themeColor="text1"/>
              <w:left w:val="nil"/>
              <w:bottom w:val="single" w:sz="4" w:space="0" w:color="000000" w:themeColor="text1"/>
              <w:right w:val="nil"/>
            </w:tcBorders>
          </w:tcPr>
          <w:p w14:paraId="3C70D82D" w14:textId="77777777" w:rsidR="0089169A" w:rsidRDefault="0089169A" w:rsidP="00E73334">
            <w:r>
              <w:t>€</w:t>
            </w:r>
          </w:p>
          <w:p w14:paraId="50220CE4" w14:textId="77777777" w:rsidR="0089169A" w:rsidRDefault="0089169A" w:rsidP="00E73334">
            <w:r>
              <w:t>€</w:t>
            </w:r>
          </w:p>
          <w:p w14:paraId="455558CD" w14:textId="77777777" w:rsidR="0089169A" w:rsidRDefault="0089169A" w:rsidP="00E73334"/>
        </w:tc>
        <w:tc>
          <w:tcPr>
            <w:tcW w:w="1839" w:type="dxa"/>
            <w:gridSpan w:val="2"/>
            <w:tcBorders>
              <w:top w:val="single" w:sz="8" w:space="0" w:color="000000" w:themeColor="text1"/>
              <w:left w:val="nil"/>
              <w:bottom w:val="single" w:sz="4" w:space="0" w:color="000000" w:themeColor="text1"/>
              <w:right w:val="nil"/>
            </w:tcBorders>
          </w:tcPr>
          <w:p w14:paraId="17DDC4C1" w14:textId="77777777" w:rsidR="008B0ECC" w:rsidRDefault="0089169A" w:rsidP="008B0ECC">
            <w:r>
              <w:t>62.000</w:t>
            </w:r>
          </w:p>
          <w:p w14:paraId="763C7F5F" w14:textId="31D1D83C" w:rsidR="0089169A" w:rsidRDefault="0089169A" w:rsidP="008B0ECC">
            <w:r>
              <w:t>64.000</w:t>
            </w:r>
          </w:p>
        </w:tc>
      </w:tr>
      <w:tr w:rsidR="0089169A" w14:paraId="3FA63241" w14:textId="77777777" w:rsidTr="0003244C">
        <w:tc>
          <w:tcPr>
            <w:tcW w:w="2694" w:type="dxa"/>
            <w:tcBorders>
              <w:left w:val="nil"/>
              <w:bottom w:val="nil"/>
              <w:right w:val="nil"/>
            </w:tcBorders>
          </w:tcPr>
          <w:p w14:paraId="3B01D1A6" w14:textId="77777777" w:rsidR="0089169A" w:rsidRDefault="0089169A" w:rsidP="00E73334">
            <w:r>
              <w:t>totaal</w:t>
            </w:r>
          </w:p>
        </w:tc>
        <w:tc>
          <w:tcPr>
            <w:tcW w:w="336" w:type="dxa"/>
            <w:tcBorders>
              <w:left w:val="nil"/>
              <w:bottom w:val="nil"/>
              <w:right w:val="nil"/>
            </w:tcBorders>
          </w:tcPr>
          <w:p w14:paraId="4FD4B18F" w14:textId="77777777" w:rsidR="0089169A" w:rsidRDefault="0089169A" w:rsidP="00E73334">
            <w:r>
              <w:t>€</w:t>
            </w:r>
          </w:p>
        </w:tc>
        <w:tc>
          <w:tcPr>
            <w:tcW w:w="1223" w:type="dxa"/>
            <w:tcBorders>
              <w:left w:val="nil"/>
              <w:bottom w:val="nil"/>
              <w:right w:val="single" w:sz="8" w:space="0" w:color="000000" w:themeColor="text1"/>
            </w:tcBorders>
          </w:tcPr>
          <w:p w14:paraId="2DAC9623" w14:textId="77777777" w:rsidR="0089169A" w:rsidRDefault="0089169A" w:rsidP="00E73334">
            <w:pPr>
              <w:jc w:val="right"/>
            </w:pPr>
            <w:r>
              <w:t>126.000</w:t>
            </w:r>
          </w:p>
        </w:tc>
        <w:tc>
          <w:tcPr>
            <w:tcW w:w="1985" w:type="dxa"/>
            <w:tcBorders>
              <w:left w:val="single" w:sz="8" w:space="0" w:color="000000" w:themeColor="text1"/>
              <w:bottom w:val="nil"/>
              <w:right w:val="nil"/>
            </w:tcBorders>
          </w:tcPr>
          <w:p w14:paraId="510898BA" w14:textId="77777777" w:rsidR="0089169A" w:rsidRDefault="0089169A" w:rsidP="00E73334">
            <w:r>
              <w:t>totaal</w:t>
            </w:r>
          </w:p>
        </w:tc>
        <w:tc>
          <w:tcPr>
            <w:tcW w:w="429" w:type="dxa"/>
            <w:tcBorders>
              <w:left w:val="nil"/>
              <w:bottom w:val="nil"/>
              <w:right w:val="nil"/>
            </w:tcBorders>
          </w:tcPr>
          <w:p w14:paraId="51D7F382" w14:textId="77777777" w:rsidR="0089169A" w:rsidRDefault="0089169A" w:rsidP="00E73334">
            <w:r>
              <w:t>€</w:t>
            </w:r>
          </w:p>
        </w:tc>
        <w:tc>
          <w:tcPr>
            <w:tcW w:w="1839" w:type="dxa"/>
            <w:gridSpan w:val="2"/>
            <w:tcBorders>
              <w:left w:val="nil"/>
              <w:bottom w:val="nil"/>
              <w:right w:val="nil"/>
            </w:tcBorders>
          </w:tcPr>
          <w:p w14:paraId="64A59731" w14:textId="77777777" w:rsidR="0089169A" w:rsidRDefault="0089169A" w:rsidP="00E73334">
            <w:r>
              <w:t>126.000</w:t>
            </w:r>
          </w:p>
        </w:tc>
      </w:tr>
    </w:tbl>
    <w:p w14:paraId="65E2C054" w14:textId="77777777" w:rsidR="0089169A" w:rsidRDefault="0089169A" w:rsidP="0089169A"/>
    <w:p w14:paraId="46F932C1" w14:textId="77777777" w:rsidR="0089169A" w:rsidRDefault="0089169A" w:rsidP="0089169A">
      <w:pPr>
        <w:ind w:left="426" w:hanging="426"/>
      </w:pPr>
      <w:r>
        <w:t>a.</w:t>
      </w:r>
      <w:r>
        <w:tab/>
        <w:t>Bereken de winst van bakker Herman.</w:t>
      </w:r>
    </w:p>
    <w:p w14:paraId="611CE097" w14:textId="77777777" w:rsidR="001F2EC8" w:rsidRDefault="001F2EC8" w:rsidP="0089169A">
      <w:pPr>
        <w:ind w:left="426" w:hanging="426"/>
      </w:pPr>
    </w:p>
    <w:p w14:paraId="2BE0EFD3" w14:textId="77777777" w:rsidR="0089169A" w:rsidRDefault="0089169A" w:rsidP="0089169A">
      <w:pPr>
        <w:ind w:left="426" w:hanging="426"/>
      </w:pPr>
      <w:r>
        <w:t>b.</w:t>
      </w:r>
      <w:r>
        <w:tab/>
        <w:t>Bereken de toegevoegde waarde van bakker Herman.</w:t>
      </w:r>
    </w:p>
    <w:p w14:paraId="6F5D4BDD" w14:textId="31684114" w:rsidR="001F2EC8" w:rsidRDefault="001F2EC8" w:rsidP="0089169A">
      <w:pPr>
        <w:ind w:left="426" w:hanging="426"/>
      </w:pPr>
    </w:p>
    <w:p w14:paraId="0795731C" w14:textId="24DD575C" w:rsidR="00E92F60" w:rsidRDefault="00E92F60" w:rsidP="0089169A">
      <w:pPr>
        <w:ind w:left="426" w:hanging="426"/>
      </w:pPr>
      <w:r>
        <w:t>c.</w:t>
      </w:r>
      <w:r>
        <w:tab/>
      </w:r>
      <w:r w:rsidRPr="005D7F48">
        <w:t xml:space="preserve">Toon met een berekening aan dat de </w:t>
      </w:r>
      <w:r>
        <w:t xml:space="preserve">toegevoegde </w:t>
      </w:r>
      <w:r w:rsidRPr="005D7F48">
        <w:t>waarde gelijk is aan de som van de inkomens.</w:t>
      </w:r>
    </w:p>
    <w:p w14:paraId="64CAAD1A" w14:textId="77777777" w:rsidR="00E92F60" w:rsidRDefault="00E92F60" w:rsidP="0089169A">
      <w:pPr>
        <w:ind w:left="426" w:hanging="426"/>
      </w:pPr>
    </w:p>
    <w:p w14:paraId="351AFF64" w14:textId="7F8699A0" w:rsidR="0089169A" w:rsidRDefault="0089169A" w:rsidP="0089169A">
      <w:r>
        <w:t>In 20</w:t>
      </w:r>
      <w:r w:rsidR="004D116A">
        <w:t>2</w:t>
      </w:r>
      <w:r w:rsidR="00E4088A">
        <w:t>2</w:t>
      </w:r>
      <w:r>
        <w:t xml:space="preserve"> stijgt de prijs van brood en gebak met 2%. Ook de grondstoffen en de energie zijn 2% duurder in 20</w:t>
      </w:r>
      <w:r w:rsidR="004D116A">
        <w:t>2</w:t>
      </w:r>
      <w:r w:rsidR="00E4088A">
        <w:t>2</w:t>
      </w:r>
      <w:r>
        <w:t>. Door het tekort aan arbeidskrachten in 20</w:t>
      </w:r>
      <w:r w:rsidR="004D116A">
        <w:t>2</w:t>
      </w:r>
      <w:r w:rsidR="00E4088A">
        <w:t>2</w:t>
      </w:r>
      <w:r>
        <w:t xml:space="preserve"> ziet bakker Herman zich genoodzaakt zijn werknemer in dienst 10% meer loon te betalen. De huur en de rente stijgen beiden met 5% in 20</w:t>
      </w:r>
      <w:r w:rsidR="004D116A">
        <w:t>2</w:t>
      </w:r>
      <w:r w:rsidR="00E4088A">
        <w:t>2</w:t>
      </w:r>
      <w:r>
        <w:t>.</w:t>
      </w:r>
    </w:p>
    <w:p w14:paraId="67C45FB0" w14:textId="6322B957" w:rsidR="0089169A" w:rsidRDefault="00E92F60" w:rsidP="0089169A">
      <w:pPr>
        <w:tabs>
          <w:tab w:val="left" w:pos="-2977"/>
        </w:tabs>
        <w:ind w:left="426" w:hanging="426"/>
      </w:pPr>
      <w:r>
        <w:t>d</w:t>
      </w:r>
      <w:r w:rsidR="0089169A">
        <w:t>.</w:t>
      </w:r>
      <w:r w:rsidR="0089169A">
        <w:tab/>
        <w:t>Bereken de winst</w:t>
      </w:r>
      <w:r w:rsidR="00442989">
        <w:t xml:space="preserve"> van bakker Herman</w:t>
      </w:r>
      <w:r w:rsidR="0089169A">
        <w:t xml:space="preserve"> in 20</w:t>
      </w:r>
      <w:r w:rsidR="004D116A">
        <w:t>2</w:t>
      </w:r>
      <w:r w:rsidR="00E4088A">
        <w:t>2</w:t>
      </w:r>
      <w:r w:rsidR="0089169A">
        <w:t>.</w:t>
      </w:r>
    </w:p>
    <w:p w14:paraId="7397E443" w14:textId="77777777" w:rsidR="0089169A" w:rsidRDefault="0089169A" w:rsidP="0089169A"/>
    <w:p w14:paraId="251CCBD0" w14:textId="77777777" w:rsidR="0089169A" w:rsidRPr="0015452F" w:rsidRDefault="00334C38" w:rsidP="0089169A">
      <w:pPr>
        <w:ind w:left="426" w:hanging="426"/>
        <w:rPr>
          <w:b/>
        </w:rPr>
      </w:pPr>
      <w:r>
        <w:rPr>
          <w:b/>
        </w:rPr>
        <w:t>Opdracht 1</w:t>
      </w:r>
      <w:r w:rsidR="0089169A" w:rsidRPr="0015452F">
        <w:rPr>
          <w:b/>
        </w:rPr>
        <w:t>.2</w:t>
      </w:r>
    </w:p>
    <w:p w14:paraId="5CC3AC93" w14:textId="77777777" w:rsidR="0089169A" w:rsidRDefault="0089169A" w:rsidP="0089169A">
      <w:pPr>
        <w:ind w:left="426" w:hanging="426"/>
      </w:pPr>
      <w:r>
        <w:t>Van Trixland is het volgende bekend:</w:t>
      </w:r>
    </w:p>
    <w:tbl>
      <w:tblPr>
        <w:tblStyle w:val="Tabelraster"/>
        <w:tblW w:w="0" w:type="auto"/>
        <w:tblInd w:w="426"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3822"/>
        <w:gridCol w:w="992"/>
        <w:gridCol w:w="992"/>
      </w:tblGrid>
      <w:tr w:rsidR="0089169A" w:rsidRPr="00226452" w14:paraId="4CC19072" w14:textId="77777777" w:rsidTr="008B0ECC">
        <w:tc>
          <w:tcPr>
            <w:tcW w:w="3822" w:type="dxa"/>
          </w:tcPr>
          <w:p w14:paraId="59C05E37" w14:textId="77777777" w:rsidR="0089169A" w:rsidRPr="00226452" w:rsidRDefault="0089169A" w:rsidP="00E73334">
            <w:pPr>
              <w:rPr>
                <w:b/>
              </w:rPr>
            </w:pPr>
            <w:r w:rsidRPr="00226452">
              <w:rPr>
                <w:b/>
              </w:rPr>
              <w:t>jaar</w:t>
            </w:r>
          </w:p>
        </w:tc>
        <w:tc>
          <w:tcPr>
            <w:tcW w:w="992" w:type="dxa"/>
          </w:tcPr>
          <w:p w14:paraId="43EB4384" w14:textId="3B611843" w:rsidR="0089169A" w:rsidRPr="00226452" w:rsidRDefault="0089169A" w:rsidP="00E73334">
            <w:pPr>
              <w:rPr>
                <w:b/>
              </w:rPr>
            </w:pPr>
            <w:r w:rsidRPr="00226452">
              <w:rPr>
                <w:b/>
              </w:rPr>
              <w:t>20</w:t>
            </w:r>
            <w:r w:rsidR="004D116A">
              <w:rPr>
                <w:b/>
              </w:rPr>
              <w:t>1</w:t>
            </w:r>
            <w:r w:rsidRPr="00226452">
              <w:rPr>
                <w:b/>
              </w:rPr>
              <w:t>0</w:t>
            </w:r>
          </w:p>
        </w:tc>
        <w:tc>
          <w:tcPr>
            <w:tcW w:w="992" w:type="dxa"/>
          </w:tcPr>
          <w:p w14:paraId="3389E922" w14:textId="16EC9E6E" w:rsidR="0089169A" w:rsidRPr="00226452" w:rsidRDefault="0089169A" w:rsidP="00E73334">
            <w:pPr>
              <w:rPr>
                <w:b/>
              </w:rPr>
            </w:pPr>
            <w:r w:rsidRPr="00226452">
              <w:rPr>
                <w:b/>
              </w:rPr>
              <w:t>20</w:t>
            </w:r>
            <w:r w:rsidR="004D116A">
              <w:rPr>
                <w:b/>
              </w:rPr>
              <w:t>2</w:t>
            </w:r>
            <w:r w:rsidRPr="00226452">
              <w:rPr>
                <w:b/>
              </w:rPr>
              <w:t>0</w:t>
            </w:r>
          </w:p>
        </w:tc>
      </w:tr>
      <w:tr w:rsidR="0089169A" w14:paraId="7049BD7D" w14:textId="77777777" w:rsidTr="008B0ECC">
        <w:tc>
          <w:tcPr>
            <w:tcW w:w="3822" w:type="dxa"/>
          </w:tcPr>
          <w:p w14:paraId="38CF501D" w14:textId="2D167DF1" w:rsidR="0089169A" w:rsidRDefault="00B776EA" w:rsidP="00E73334">
            <w:r>
              <w:t>bbp</w:t>
            </w:r>
            <w:r w:rsidR="0089169A">
              <w:t xml:space="preserve"> × 1 miljard</w:t>
            </w:r>
          </w:p>
        </w:tc>
        <w:tc>
          <w:tcPr>
            <w:tcW w:w="992" w:type="dxa"/>
          </w:tcPr>
          <w:p w14:paraId="04413531" w14:textId="77777777" w:rsidR="0089169A" w:rsidRDefault="0089169A" w:rsidP="00E73334">
            <w:r>
              <w:t>€ 600</w:t>
            </w:r>
          </w:p>
        </w:tc>
        <w:tc>
          <w:tcPr>
            <w:tcW w:w="992" w:type="dxa"/>
          </w:tcPr>
          <w:p w14:paraId="54A2454F" w14:textId="77777777" w:rsidR="0089169A" w:rsidRDefault="0089169A" w:rsidP="00E73334">
            <w:r>
              <w:t>€ 960</w:t>
            </w:r>
          </w:p>
        </w:tc>
      </w:tr>
      <w:tr w:rsidR="0089169A" w14:paraId="79BC686F" w14:textId="77777777" w:rsidTr="008B0ECC">
        <w:tc>
          <w:tcPr>
            <w:tcW w:w="3822" w:type="dxa"/>
          </w:tcPr>
          <w:p w14:paraId="57F763CA" w14:textId="0E869E82" w:rsidR="0089169A" w:rsidRDefault="0089169A" w:rsidP="00E73334">
            <w:r>
              <w:t xml:space="preserve">prijsindexcijfer (basis </w:t>
            </w:r>
            <w:r w:rsidR="004D116A">
              <w:t>200</w:t>
            </w:r>
            <w:r>
              <w:t>5)</w:t>
            </w:r>
          </w:p>
        </w:tc>
        <w:tc>
          <w:tcPr>
            <w:tcW w:w="992" w:type="dxa"/>
          </w:tcPr>
          <w:p w14:paraId="48BC0E21" w14:textId="77777777" w:rsidR="0089169A" w:rsidRDefault="0089169A" w:rsidP="00E73334">
            <w:r>
              <w:t>120</w:t>
            </w:r>
          </w:p>
        </w:tc>
        <w:tc>
          <w:tcPr>
            <w:tcW w:w="992" w:type="dxa"/>
          </w:tcPr>
          <w:p w14:paraId="7176E858" w14:textId="77777777" w:rsidR="0089169A" w:rsidRDefault="0089169A" w:rsidP="00E73334">
            <w:r>
              <w:t>168</w:t>
            </w:r>
          </w:p>
        </w:tc>
      </w:tr>
      <w:tr w:rsidR="0089169A" w14:paraId="14AE2D3A" w14:textId="77777777" w:rsidTr="008B0ECC">
        <w:tc>
          <w:tcPr>
            <w:tcW w:w="3822" w:type="dxa"/>
          </w:tcPr>
          <w:p w14:paraId="4BFF5CE4" w14:textId="5D7B8BB6" w:rsidR="0089169A" w:rsidRDefault="0089169A" w:rsidP="00E73334">
            <w:r>
              <w:t xml:space="preserve">indexcijfer inwoners (basis </w:t>
            </w:r>
            <w:r w:rsidR="004D116A">
              <w:t>200</w:t>
            </w:r>
            <w:r>
              <w:t>5)</w:t>
            </w:r>
          </w:p>
        </w:tc>
        <w:tc>
          <w:tcPr>
            <w:tcW w:w="992" w:type="dxa"/>
          </w:tcPr>
          <w:p w14:paraId="1E9B6654" w14:textId="77777777" w:rsidR="0089169A" w:rsidRDefault="0089169A" w:rsidP="00E73334">
            <w:r>
              <w:t>108</w:t>
            </w:r>
          </w:p>
        </w:tc>
        <w:tc>
          <w:tcPr>
            <w:tcW w:w="992" w:type="dxa"/>
          </w:tcPr>
          <w:p w14:paraId="4AB173A4" w14:textId="77777777" w:rsidR="0089169A" w:rsidRDefault="0089169A" w:rsidP="00E73334">
            <w:r>
              <w:t>113,5</w:t>
            </w:r>
          </w:p>
        </w:tc>
      </w:tr>
    </w:tbl>
    <w:p w14:paraId="0CCE5390" w14:textId="77777777" w:rsidR="00E76D1E" w:rsidRDefault="00E76D1E" w:rsidP="0089169A">
      <w:pPr>
        <w:ind w:left="426" w:hanging="426"/>
      </w:pPr>
    </w:p>
    <w:p w14:paraId="7909CAF4" w14:textId="67AB9E94" w:rsidR="0089169A" w:rsidRDefault="0089169A" w:rsidP="0089169A">
      <w:pPr>
        <w:ind w:left="426" w:hanging="426"/>
      </w:pPr>
      <w:r>
        <w:t xml:space="preserve">In </w:t>
      </w:r>
      <w:r w:rsidR="004D116A">
        <w:t>2005</w:t>
      </w:r>
      <w:r>
        <w:t xml:space="preserve"> had Trixland 16 miljoen inwoners.</w:t>
      </w:r>
    </w:p>
    <w:p w14:paraId="36B25029" w14:textId="77777777" w:rsidR="00124B3C" w:rsidRDefault="00124B3C" w:rsidP="0089169A">
      <w:pPr>
        <w:ind w:left="426" w:hanging="426"/>
      </w:pPr>
    </w:p>
    <w:p w14:paraId="07BBFE63" w14:textId="52EA620A" w:rsidR="0089169A" w:rsidRDefault="0089169A" w:rsidP="0089169A">
      <w:pPr>
        <w:ind w:left="426" w:hanging="426"/>
      </w:pPr>
      <w:r>
        <w:t>a.</w:t>
      </w:r>
      <w:r>
        <w:tab/>
        <w:t xml:space="preserve">Bereken </w:t>
      </w:r>
      <w:r w:rsidR="00124B3C">
        <w:t xml:space="preserve">met hoeveel procent </w:t>
      </w:r>
      <w:r>
        <w:t xml:space="preserve">het </w:t>
      </w:r>
      <w:r w:rsidR="00B776EA">
        <w:t>bbp</w:t>
      </w:r>
      <w:r>
        <w:t xml:space="preserve"> in 20</w:t>
      </w:r>
      <w:r w:rsidR="004D116A">
        <w:t>2</w:t>
      </w:r>
      <w:r>
        <w:t xml:space="preserve">0 </w:t>
      </w:r>
      <w:r w:rsidR="00124B3C">
        <w:t>is gestegen ten opzichte van</w:t>
      </w:r>
      <w:r>
        <w:t xml:space="preserve"> 20</w:t>
      </w:r>
      <w:r w:rsidR="004D116A">
        <w:t>1</w:t>
      </w:r>
      <w:r>
        <w:t>0.</w:t>
      </w:r>
    </w:p>
    <w:p w14:paraId="521AC64C" w14:textId="77777777" w:rsidR="001F2EC8" w:rsidRDefault="001F2EC8" w:rsidP="0089169A">
      <w:pPr>
        <w:ind w:left="426" w:hanging="426"/>
      </w:pPr>
    </w:p>
    <w:p w14:paraId="68364380" w14:textId="039D763B" w:rsidR="0089169A" w:rsidRDefault="0089169A" w:rsidP="0089169A">
      <w:pPr>
        <w:ind w:left="426" w:hanging="426"/>
      </w:pPr>
      <w:r>
        <w:t>b.</w:t>
      </w:r>
      <w:r>
        <w:tab/>
      </w:r>
      <w:r w:rsidR="00124B3C">
        <w:t xml:space="preserve">Bereken met hoeveel procent de prijzen </w:t>
      </w:r>
      <w:r>
        <w:t>in 20</w:t>
      </w:r>
      <w:r w:rsidR="004D116A">
        <w:t>2</w:t>
      </w:r>
      <w:r>
        <w:t xml:space="preserve">0 </w:t>
      </w:r>
      <w:r w:rsidR="00124B3C">
        <w:t>gestegen zijn ten opzichte van</w:t>
      </w:r>
      <w:r>
        <w:t xml:space="preserve"> 20</w:t>
      </w:r>
      <w:r w:rsidR="004D116A">
        <w:t>1</w:t>
      </w:r>
      <w:r>
        <w:t>0.</w:t>
      </w:r>
    </w:p>
    <w:p w14:paraId="04C862F1" w14:textId="77777777" w:rsidR="001F2EC8" w:rsidRDefault="001F2EC8" w:rsidP="0089169A">
      <w:pPr>
        <w:ind w:left="426" w:hanging="426"/>
      </w:pPr>
    </w:p>
    <w:p w14:paraId="3F971A08" w14:textId="51AD28FC" w:rsidR="0089169A" w:rsidRDefault="0089169A" w:rsidP="00124B3C">
      <w:pPr>
        <w:ind w:left="426" w:hanging="426"/>
      </w:pPr>
      <w:r>
        <w:t>c.</w:t>
      </w:r>
      <w:r>
        <w:tab/>
        <w:t>Met hoeveel procent is het reël</w:t>
      </w:r>
      <w:r w:rsidR="00B776EA">
        <w:t>e</w:t>
      </w:r>
      <w:r>
        <w:t xml:space="preserve"> </w:t>
      </w:r>
      <w:r w:rsidR="00B776EA">
        <w:t>bbp</w:t>
      </w:r>
      <w:r>
        <w:t xml:space="preserve"> tussen 20</w:t>
      </w:r>
      <w:r w:rsidR="004D116A">
        <w:t>1</w:t>
      </w:r>
      <w:r>
        <w:t>0 en 20</w:t>
      </w:r>
      <w:r w:rsidR="004D116A">
        <w:t>2</w:t>
      </w:r>
      <w:r>
        <w:t>0 gestegen?</w:t>
      </w:r>
    </w:p>
    <w:p w14:paraId="22CE8770" w14:textId="77777777" w:rsidR="001F2EC8" w:rsidRDefault="001F2EC8" w:rsidP="0089169A">
      <w:pPr>
        <w:ind w:left="426" w:hanging="426"/>
      </w:pPr>
    </w:p>
    <w:p w14:paraId="682EA80E" w14:textId="54825670" w:rsidR="0089169A" w:rsidRDefault="00124B3C" w:rsidP="0089169A">
      <w:pPr>
        <w:ind w:left="426" w:hanging="426"/>
      </w:pPr>
      <w:r>
        <w:lastRenderedPageBreak/>
        <w:t>d</w:t>
      </w:r>
      <w:r w:rsidR="0089169A">
        <w:t>.</w:t>
      </w:r>
      <w:r w:rsidR="0089169A">
        <w:tab/>
        <w:t xml:space="preserve">Bereken </w:t>
      </w:r>
      <w:r>
        <w:t>met hoeveel procent</w:t>
      </w:r>
      <w:r w:rsidR="0089169A">
        <w:t xml:space="preserve"> het aantal inwoners in 20</w:t>
      </w:r>
      <w:r w:rsidR="004D116A">
        <w:t>2</w:t>
      </w:r>
      <w:r w:rsidR="0089169A">
        <w:t>0</w:t>
      </w:r>
      <w:r>
        <w:t xml:space="preserve"> gestegen is ten opzichte van</w:t>
      </w:r>
      <w:r w:rsidR="0089169A">
        <w:t xml:space="preserve"> 20</w:t>
      </w:r>
      <w:r w:rsidR="004D116A">
        <w:t>1</w:t>
      </w:r>
      <w:r w:rsidR="0089169A">
        <w:t>0.</w:t>
      </w:r>
    </w:p>
    <w:p w14:paraId="60F20F27" w14:textId="77777777" w:rsidR="001F2EC8" w:rsidRDefault="001F2EC8" w:rsidP="0089169A">
      <w:pPr>
        <w:ind w:left="426" w:hanging="426"/>
      </w:pPr>
    </w:p>
    <w:p w14:paraId="413C44DA" w14:textId="4EC7BE75" w:rsidR="0089169A" w:rsidRDefault="00124B3C" w:rsidP="0003244C">
      <w:pPr>
        <w:ind w:left="425" w:hanging="425"/>
      </w:pPr>
      <w:r>
        <w:t>e</w:t>
      </w:r>
      <w:r w:rsidR="0089169A">
        <w:t>.</w:t>
      </w:r>
      <w:r w:rsidR="0089169A">
        <w:tab/>
        <w:t>Bereken met hoeveel procent het reël</w:t>
      </w:r>
      <w:r w:rsidR="00B776EA">
        <w:t>e</w:t>
      </w:r>
      <w:r w:rsidR="0089169A">
        <w:t xml:space="preserve"> b</w:t>
      </w:r>
      <w:r w:rsidR="00B776EA">
        <w:t>bp</w:t>
      </w:r>
      <w:r w:rsidR="0089169A">
        <w:t xml:space="preserve"> per inwoner is toegenomen in de periode 20</w:t>
      </w:r>
      <w:r w:rsidR="004D116A">
        <w:t>1</w:t>
      </w:r>
      <w:r w:rsidR="0089169A">
        <w:t>0 - 20</w:t>
      </w:r>
      <w:r w:rsidR="004D116A">
        <w:t>2</w:t>
      </w:r>
      <w:r w:rsidR="0089169A">
        <w:t>0.</w:t>
      </w:r>
    </w:p>
    <w:p w14:paraId="402A386F" w14:textId="77777777" w:rsidR="001F2EC8" w:rsidRDefault="001F2EC8" w:rsidP="0003244C">
      <w:pPr>
        <w:ind w:left="425" w:hanging="425"/>
      </w:pPr>
    </w:p>
    <w:p w14:paraId="2EC3E0FA" w14:textId="2C75CA19" w:rsidR="0089169A" w:rsidRDefault="00124B3C" w:rsidP="0003244C">
      <w:pPr>
        <w:ind w:left="425" w:hanging="425"/>
      </w:pPr>
      <w:r>
        <w:t>f</w:t>
      </w:r>
      <w:r w:rsidR="0089169A">
        <w:t>.</w:t>
      </w:r>
      <w:r w:rsidR="0089169A">
        <w:tab/>
      </w:r>
      <w:bookmarkStart w:id="0" w:name="_Hlk108188324"/>
      <w:r w:rsidR="0089169A">
        <w:t>Bereken met hoeveel euro het gemiddeld inkomen is toegenomen tussen 20</w:t>
      </w:r>
      <w:r w:rsidR="004D116A">
        <w:t>1</w:t>
      </w:r>
      <w:r w:rsidR="0089169A">
        <w:t>0 en 20</w:t>
      </w:r>
      <w:r w:rsidR="004D116A">
        <w:t>2</w:t>
      </w:r>
      <w:r w:rsidR="0089169A">
        <w:t>0.</w:t>
      </w:r>
    </w:p>
    <w:bookmarkEnd w:id="0"/>
    <w:p w14:paraId="2B9AAAD1" w14:textId="77777777" w:rsidR="0089169A" w:rsidRDefault="0089169A" w:rsidP="0089169A">
      <w:pPr>
        <w:ind w:left="426" w:hanging="426"/>
      </w:pPr>
    </w:p>
    <w:p w14:paraId="28E9663F" w14:textId="77777777" w:rsidR="00B56200" w:rsidRDefault="00B56200">
      <w:pPr>
        <w:rPr>
          <w:b/>
        </w:rPr>
      </w:pPr>
      <w:r>
        <w:rPr>
          <w:b/>
        </w:rPr>
        <w:t>Opdracht 1.3</w:t>
      </w:r>
    </w:p>
    <w:p w14:paraId="27D3B91B" w14:textId="35002F6B" w:rsidR="002664C3" w:rsidRPr="0003244C" w:rsidRDefault="002664C3">
      <w:pPr>
        <w:rPr>
          <w:b/>
          <w:bCs/>
        </w:rPr>
      </w:pPr>
      <w:r w:rsidRPr="0003244C">
        <w:rPr>
          <w:b/>
          <w:bCs/>
        </w:rPr>
        <w:t>Wijn uit Nederland</w:t>
      </w:r>
    </w:p>
    <w:p w14:paraId="1643E5AB" w14:textId="77777777" w:rsidR="008B0ECC" w:rsidRDefault="00B56200">
      <w:r>
        <w:t>In Nederland komen steeds meer kleine wijnmakers die zelf hun druiven telen. Hoewel het Nederlandse klimaat niet optimaal is, lukt het een aantal bedrijven in het oosten en zuiden van het land om druiven te telen en daar een redelijk goede wijn van te maken.</w:t>
      </w:r>
    </w:p>
    <w:p w14:paraId="6DD7ABE3" w14:textId="77777777" w:rsidR="008B0ECC" w:rsidRDefault="00B56200">
      <w:r>
        <w:t>De vereenvoudigde bedrijfskolom van wijn in Nederland bestaat uit drie schakels: druiventelers, wijnmakers en slijterijen.</w:t>
      </w:r>
    </w:p>
    <w:p w14:paraId="5C8C9D75" w14:textId="77777777" w:rsidR="008B0ECC" w:rsidRDefault="00B56200">
      <w:r>
        <w:t>De omzet in een jaar van de Nederlandse druiventelers is € 2 miljoen. Ze hebben geen inkoopkosten.</w:t>
      </w:r>
    </w:p>
    <w:p w14:paraId="7C51055B" w14:textId="19817B62" w:rsidR="00B56200" w:rsidRDefault="00B56200">
      <w:r>
        <w:t>De wijnmakers kopen de druiven, maken er wijn van en leveren de flessen aan de slijterijen. De omzet van de wijnmakers van Nederlandse wijn is € 4,25 miljoen. De omzet van slijterijen van Nederlandse wijn is € 9,75 miljoen.</w:t>
      </w:r>
    </w:p>
    <w:p w14:paraId="4CBFA6F5" w14:textId="77777777" w:rsidR="00B56200" w:rsidRDefault="00B56200"/>
    <w:p w14:paraId="2E836772" w14:textId="77777777" w:rsidR="00B56200" w:rsidRDefault="00B56200" w:rsidP="00B56200">
      <w:pPr>
        <w:ind w:left="426" w:hanging="426"/>
      </w:pPr>
      <w:r>
        <w:t>a.</w:t>
      </w:r>
      <w:r>
        <w:tab/>
      </w:r>
      <w:r w:rsidRPr="00B56200">
        <w:t>Bereken de toegevoegde waarde van de wijnmakers van Nederlandse wijn.</w:t>
      </w:r>
    </w:p>
    <w:p w14:paraId="31799D01" w14:textId="77777777" w:rsidR="00B56200" w:rsidRDefault="00B56200" w:rsidP="00B56200"/>
    <w:p w14:paraId="67F9B12A" w14:textId="77777777" w:rsidR="00875D64" w:rsidRDefault="00B56200" w:rsidP="00B56200">
      <w:pPr>
        <w:ind w:left="426" w:hanging="426"/>
      </w:pPr>
      <w:r>
        <w:t>b.</w:t>
      </w:r>
      <w:r>
        <w:tab/>
      </w:r>
      <w:r w:rsidR="00875D64">
        <w:t>Bereken het totale inkomen dat door de drie schakels is verdiend.</w:t>
      </w:r>
    </w:p>
    <w:p w14:paraId="344A8837" w14:textId="77777777" w:rsidR="00875D64" w:rsidRDefault="00875D64" w:rsidP="00875D64"/>
    <w:p w14:paraId="3C16229E" w14:textId="26B7AD3F" w:rsidR="00875D64" w:rsidRDefault="00875D64" w:rsidP="00875D64">
      <w:pPr>
        <w:ind w:left="426" w:hanging="426"/>
        <w:rPr>
          <w:b/>
        </w:rPr>
      </w:pPr>
      <w:r>
        <w:t>c.</w:t>
      </w:r>
      <w:r>
        <w:tab/>
        <w:t>Leg uit waarom je niet de omzetten van de drie schakels bij elkaar mag optellen om de toegevoegde waarde te berekenen.</w:t>
      </w:r>
    </w:p>
    <w:p w14:paraId="0C2619C5" w14:textId="77777777" w:rsidR="00A75C77" w:rsidRDefault="00A75C77">
      <w:pPr>
        <w:spacing w:line="240" w:lineRule="auto"/>
        <w:rPr>
          <w:b/>
        </w:rPr>
      </w:pPr>
    </w:p>
    <w:p w14:paraId="4329176D" w14:textId="77777777" w:rsidR="00A75C77" w:rsidRDefault="00A75C77" w:rsidP="0003244C">
      <w:pPr>
        <w:rPr>
          <w:b/>
        </w:rPr>
      </w:pPr>
      <w:r>
        <w:rPr>
          <w:b/>
        </w:rPr>
        <w:t>Opdracht 1.4</w:t>
      </w:r>
    </w:p>
    <w:p w14:paraId="0F5B77A5" w14:textId="77777777" w:rsidR="00A75C77" w:rsidRDefault="00A75C77" w:rsidP="0003244C">
      <w:pPr>
        <w:rPr>
          <w:b/>
        </w:rPr>
      </w:pPr>
      <w:r>
        <w:rPr>
          <w:b/>
        </w:rPr>
        <w:t>Welvaart meten</w:t>
      </w:r>
    </w:p>
    <w:p w14:paraId="1902168C" w14:textId="77777777" w:rsidR="00A75C77" w:rsidRDefault="00A75C77" w:rsidP="00A75C77">
      <w:r>
        <w:t>De welvaart van een land wordt berekend door te kijken naar het reëel bbp per hoofd van de bevolking. Als het reëel bbp stijgt is er sprake van economische groei. Toch is er veel kritiek op deze manier van welvaartsmeting. Er worden zaken meegeteld die de welvaart verhogen maar ook zaken die de welvaart verlagen.</w:t>
      </w:r>
    </w:p>
    <w:p w14:paraId="72810F79" w14:textId="77777777" w:rsidR="00A75C77" w:rsidRDefault="00A75C77" w:rsidP="00A75C77"/>
    <w:p w14:paraId="6DD874CA" w14:textId="77777777" w:rsidR="00A75C77" w:rsidRDefault="00A75C77" w:rsidP="00A75C77">
      <w:pPr>
        <w:ind w:left="426" w:hanging="426"/>
      </w:pPr>
      <w:r>
        <w:t>a.</w:t>
      </w:r>
      <w:r>
        <w:tab/>
        <w:t>Geef een voorbeeld van zaken die niet meegeteld worden, maar de welvaart wel verhogen.</w:t>
      </w:r>
    </w:p>
    <w:p w14:paraId="330D8529" w14:textId="77777777" w:rsidR="00A75C77" w:rsidRDefault="00A75C77" w:rsidP="00A75C77"/>
    <w:p w14:paraId="75690598" w14:textId="77777777" w:rsidR="00A75C77" w:rsidRDefault="00A75C77" w:rsidP="00A75C77">
      <w:pPr>
        <w:ind w:left="426" w:hanging="426"/>
      </w:pPr>
      <w:r>
        <w:lastRenderedPageBreak/>
        <w:t>b.</w:t>
      </w:r>
      <w:r>
        <w:tab/>
        <w:t>Geef een voorbeeld van zaken die wel meegeteld worden, maar de welvaart verlagen.</w:t>
      </w:r>
    </w:p>
    <w:p w14:paraId="203E371B" w14:textId="627D7A4D" w:rsidR="00A75C77" w:rsidRDefault="00A75C77" w:rsidP="00A75C77"/>
    <w:p w14:paraId="02C9D0CA" w14:textId="3B20E623" w:rsidR="00A75C77" w:rsidRDefault="00A75C77" w:rsidP="00A75C77">
      <w:r>
        <w:t>Omdat het bbp een beperkte maatstaf is, zijn er andere manieren ontwikkeld om de welvaart te meten, zoals het groene bbp en de Human Development Index (HDI).</w:t>
      </w:r>
    </w:p>
    <w:p w14:paraId="7829929F" w14:textId="77777777" w:rsidR="00A75C77" w:rsidRDefault="00A75C77" w:rsidP="00A75C77"/>
    <w:p w14:paraId="6B095C53" w14:textId="77777777" w:rsidR="00A75C77" w:rsidRDefault="00A75C77" w:rsidP="00A75C77">
      <w:pPr>
        <w:ind w:left="426" w:hanging="426"/>
      </w:pPr>
      <w:r>
        <w:t>c.</w:t>
      </w:r>
      <w:r>
        <w:tab/>
      </w:r>
      <w:r w:rsidRPr="00A75C77">
        <w:t>Met welke zaken wordt in het groene bbp wel rekening gehouden en bij het bbp niet?</w:t>
      </w:r>
    </w:p>
    <w:p w14:paraId="5C436D17" w14:textId="77777777" w:rsidR="00A75C77" w:rsidRDefault="00A75C77" w:rsidP="00A75C77"/>
    <w:p w14:paraId="1767106F" w14:textId="77777777" w:rsidR="008B0ECC" w:rsidRDefault="00A75C77" w:rsidP="0003244C">
      <w:pPr>
        <w:ind w:left="426" w:hanging="426"/>
      </w:pPr>
      <w:r>
        <w:t>d.</w:t>
      </w:r>
      <w:r>
        <w:tab/>
        <w:t>Bij de Human Development Index (HDI) wordt naast het bbp ook nog gekeken naar twee andere zaken. Welke?</w:t>
      </w:r>
    </w:p>
    <w:p w14:paraId="454D196D" w14:textId="67EE1DC8" w:rsidR="00875D64" w:rsidRDefault="00875D64" w:rsidP="0003244C">
      <w:pPr>
        <w:ind w:left="426" w:hanging="426"/>
        <w:rPr>
          <w:b/>
        </w:rPr>
      </w:pPr>
      <w:r>
        <w:rPr>
          <w:b/>
        </w:rPr>
        <w:br w:type="page"/>
      </w:r>
    </w:p>
    <w:p w14:paraId="4858C318" w14:textId="77777777" w:rsidR="001F2EC8" w:rsidRPr="000D0CDF" w:rsidRDefault="00334C38" w:rsidP="001F2EC8">
      <w:pPr>
        <w:rPr>
          <w:b/>
        </w:rPr>
      </w:pPr>
      <w:r>
        <w:rPr>
          <w:b/>
        </w:rPr>
        <w:t>Uitwerking opdracht 1</w:t>
      </w:r>
      <w:r w:rsidR="001F2EC8" w:rsidRPr="000D0CDF">
        <w:rPr>
          <w:b/>
        </w:rPr>
        <w:t>.1</w:t>
      </w:r>
    </w:p>
    <w:p w14:paraId="10414717" w14:textId="77777777" w:rsidR="001F2EC8" w:rsidRDefault="001F2EC8" w:rsidP="001F2EC8">
      <w:pPr>
        <w:ind w:left="426" w:hanging="426"/>
      </w:pPr>
      <w:r>
        <w:t>a.</w:t>
      </w:r>
      <w:r>
        <w:tab/>
        <w:t>€ 126.000 – € 28.000 – € 8.000 – € 24.000 – € 14.000 – € 12.000 = € 40.000.</w:t>
      </w:r>
    </w:p>
    <w:p w14:paraId="3350E8E4" w14:textId="77777777" w:rsidR="001F2EC8" w:rsidRDefault="001F2EC8" w:rsidP="001F2EC8">
      <w:pPr>
        <w:ind w:left="426" w:hanging="426"/>
      </w:pPr>
      <w:r>
        <w:t>b.</w:t>
      </w:r>
      <w:r>
        <w:tab/>
        <w:t>€ 126.000 – € 28.000 – € 8.000 = € 90.000.</w:t>
      </w:r>
    </w:p>
    <w:p w14:paraId="46C83AFD" w14:textId="4FD69296" w:rsidR="00E92F60" w:rsidRPr="005D7F48" w:rsidRDefault="001F2EC8" w:rsidP="00A75C77">
      <w:pPr>
        <w:ind w:left="426" w:hanging="426"/>
      </w:pPr>
      <w:r>
        <w:t>c.</w:t>
      </w:r>
      <w:r>
        <w:tab/>
      </w:r>
      <w:r w:rsidR="00E92F60" w:rsidRPr="005D7F48">
        <w:t xml:space="preserve">Lonen + rente + huur + winst = </w:t>
      </w:r>
      <w:r w:rsidR="00E92F60">
        <w:t>24</w:t>
      </w:r>
      <w:r w:rsidR="00E92F60" w:rsidRPr="005D7F48">
        <w:t>.000 + 1</w:t>
      </w:r>
      <w:r w:rsidR="00E92F60">
        <w:t>4</w:t>
      </w:r>
      <w:r w:rsidR="00E92F60" w:rsidRPr="005D7F48">
        <w:t xml:space="preserve">.000 + </w:t>
      </w:r>
      <w:r w:rsidR="00E92F60">
        <w:t>12</w:t>
      </w:r>
      <w:r w:rsidR="00E92F60" w:rsidRPr="005D7F48">
        <w:t xml:space="preserve">.000 + </w:t>
      </w:r>
      <w:r w:rsidR="00E92F60">
        <w:t>40</w:t>
      </w:r>
      <w:r w:rsidR="00E92F60" w:rsidRPr="005D7F48">
        <w:t xml:space="preserve">.000 = € </w:t>
      </w:r>
      <w:r w:rsidR="00E92F60">
        <w:t>90</w:t>
      </w:r>
      <w:r w:rsidR="00E92F60" w:rsidRPr="005D7F48">
        <w:t>.000.</w:t>
      </w:r>
    </w:p>
    <w:p w14:paraId="69AC72BD" w14:textId="128837D0" w:rsidR="00E92F60" w:rsidRDefault="00E92F60" w:rsidP="0003244C">
      <w:pPr>
        <w:ind w:left="426"/>
      </w:pPr>
      <w:r w:rsidRPr="005D7F48">
        <w:t xml:space="preserve">En de </w:t>
      </w:r>
      <w:r>
        <w:t xml:space="preserve">toegevoegde </w:t>
      </w:r>
      <w:r w:rsidRPr="005D7F48">
        <w:t xml:space="preserve">waarde is ook € </w:t>
      </w:r>
      <w:r>
        <w:t>90</w:t>
      </w:r>
      <w:r w:rsidRPr="005D7F48">
        <w:t>.000.</w:t>
      </w:r>
      <w:r w:rsidDel="00E4088A">
        <w:t xml:space="preserve"> </w:t>
      </w:r>
    </w:p>
    <w:p w14:paraId="30DE2245" w14:textId="3673A8E5" w:rsidR="001F2EC8" w:rsidRDefault="00E92F60" w:rsidP="00E4088A">
      <w:pPr>
        <w:ind w:left="426" w:hanging="426"/>
      </w:pPr>
      <w:r>
        <w:t>d.</w:t>
      </w:r>
      <w:r>
        <w:tab/>
      </w:r>
      <w:r w:rsidR="001F2EC8">
        <w:t>Kosten:</w:t>
      </w:r>
    </w:p>
    <w:p w14:paraId="54D5727A" w14:textId="77777777" w:rsidR="001F2EC8" w:rsidRDefault="001F2EC8" w:rsidP="001F2EC8">
      <w:pPr>
        <w:ind w:left="426" w:hanging="426"/>
      </w:pPr>
      <w:r>
        <w:tab/>
        <w:t>grondstoffen: € 28.000 × 1,02 = € 28.560</w:t>
      </w:r>
    </w:p>
    <w:p w14:paraId="1B95A21E" w14:textId="77777777" w:rsidR="001F2EC8" w:rsidRDefault="001F2EC8" w:rsidP="001F2EC8">
      <w:pPr>
        <w:ind w:left="426" w:hanging="426"/>
      </w:pPr>
      <w:r>
        <w:tab/>
        <w:t>energie: € 8.000 × 1,02 = € 8.160</w:t>
      </w:r>
    </w:p>
    <w:p w14:paraId="56790CAC" w14:textId="77777777" w:rsidR="001F2EC8" w:rsidRDefault="001F2EC8" w:rsidP="001F2EC8">
      <w:pPr>
        <w:ind w:left="426" w:hanging="426"/>
      </w:pPr>
      <w:r>
        <w:tab/>
        <w:t>lonen: € 24.000 × 1,10 = € 26.400</w:t>
      </w:r>
    </w:p>
    <w:p w14:paraId="7CE81007" w14:textId="77777777" w:rsidR="001F2EC8" w:rsidRDefault="001F2EC8" w:rsidP="001F2EC8">
      <w:pPr>
        <w:ind w:left="426" w:hanging="426"/>
      </w:pPr>
      <w:r>
        <w:tab/>
        <w:t>rente: € 14.000 × 1,05 = € 14.700</w:t>
      </w:r>
    </w:p>
    <w:p w14:paraId="6DBBCBCF" w14:textId="77777777" w:rsidR="001F2EC8" w:rsidRDefault="001F2EC8" w:rsidP="001F2EC8">
      <w:pPr>
        <w:ind w:left="426" w:hanging="426"/>
      </w:pPr>
      <w:r>
        <w:tab/>
        <w:t>huur: € 12.000 × 1,05 = € 12.600</w:t>
      </w:r>
    </w:p>
    <w:p w14:paraId="5886BA5C" w14:textId="77777777" w:rsidR="001F2EC8" w:rsidRDefault="001F2EC8" w:rsidP="001F2EC8">
      <w:pPr>
        <w:ind w:left="426" w:hanging="426"/>
      </w:pPr>
      <w:r>
        <w:tab/>
        <w:t>Totale kosten € 90.420.</w:t>
      </w:r>
    </w:p>
    <w:p w14:paraId="43A8467F" w14:textId="77777777" w:rsidR="001F2EC8" w:rsidRDefault="001F2EC8" w:rsidP="001F2EC8">
      <w:pPr>
        <w:ind w:left="426" w:hanging="426"/>
      </w:pPr>
      <w:r>
        <w:tab/>
        <w:t>Omzet: € 126.000 × 1,02 = € 128.520.</w:t>
      </w:r>
    </w:p>
    <w:p w14:paraId="29A53F45" w14:textId="77777777" w:rsidR="001F2EC8" w:rsidRDefault="001F2EC8" w:rsidP="001F2EC8">
      <w:pPr>
        <w:ind w:left="426" w:hanging="426"/>
      </w:pPr>
      <w:r>
        <w:tab/>
        <w:t>Winst: € 128.520 – € 90.420 = € 38.100.</w:t>
      </w:r>
    </w:p>
    <w:p w14:paraId="10773E45" w14:textId="0287B9C7" w:rsidR="001F2EC8" w:rsidRDefault="001F2EC8" w:rsidP="0089169A">
      <w:pPr>
        <w:ind w:left="426" w:hanging="426"/>
      </w:pPr>
    </w:p>
    <w:p w14:paraId="499C9483" w14:textId="77777777" w:rsidR="0089169A" w:rsidRPr="0015452F" w:rsidRDefault="00334C38" w:rsidP="0089169A">
      <w:pPr>
        <w:ind w:left="426" w:hanging="426"/>
        <w:rPr>
          <w:b/>
        </w:rPr>
      </w:pPr>
      <w:r>
        <w:rPr>
          <w:b/>
        </w:rPr>
        <w:t>Uitwerking opdracht 1</w:t>
      </w:r>
      <w:r w:rsidR="0089169A" w:rsidRPr="0015452F">
        <w:rPr>
          <w:b/>
        </w:rPr>
        <w:t>.2</w:t>
      </w:r>
    </w:p>
    <w:p w14:paraId="16FA4F51" w14:textId="7A5F6D2C" w:rsidR="0089169A" w:rsidRDefault="0089169A" w:rsidP="0089169A">
      <w:pPr>
        <w:ind w:left="426" w:hanging="426"/>
      </w:pPr>
      <w:r>
        <w:t>a.</w:t>
      </w:r>
      <w:r>
        <w:tab/>
        <w:t>(960</w:t>
      </w:r>
      <w:r w:rsidR="00124B3C">
        <w:t xml:space="preserve"> – 600</w:t>
      </w:r>
      <w:r>
        <w:t xml:space="preserve"> / 600) × 100</w:t>
      </w:r>
      <w:r w:rsidR="00124B3C">
        <w:t>%</w:t>
      </w:r>
      <w:r>
        <w:t xml:space="preserve"> = 60</w:t>
      </w:r>
      <w:r w:rsidR="00124B3C">
        <w:t>%</w:t>
      </w:r>
      <w:r>
        <w:t>.</w:t>
      </w:r>
    </w:p>
    <w:p w14:paraId="1BC19538" w14:textId="33CBFFE9" w:rsidR="0089169A" w:rsidRDefault="0089169A" w:rsidP="0089169A">
      <w:pPr>
        <w:ind w:left="426" w:hanging="426"/>
      </w:pPr>
      <w:r>
        <w:t>b.</w:t>
      </w:r>
      <w:r>
        <w:tab/>
        <w:t xml:space="preserve">(168 </w:t>
      </w:r>
      <w:r w:rsidR="00124B3C">
        <w:t xml:space="preserve">– 120 </w:t>
      </w:r>
      <w:r>
        <w:t>/ 120) × 100</w:t>
      </w:r>
      <w:r w:rsidR="00124B3C">
        <w:t>%</w:t>
      </w:r>
      <w:r>
        <w:t xml:space="preserve"> = 40</w:t>
      </w:r>
      <w:r w:rsidR="00124B3C">
        <w:t>%</w:t>
      </w:r>
      <w:r>
        <w:t>.</w:t>
      </w:r>
    </w:p>
    <w:p w14:paraId="757AD3BB" w14:textId="5FAB8105" w:rsidR="0089169A" w:rsidRDefault="0089169A" w:rsidP="00217FF8">
      <w:pPr>
        <w:ind w:left="426" w:hanging="426"/>
      </w:pPr>
      <w:r>
        <w:t>c.</w:t>
      </w:r>
      <w:r>
        <w:tab/>
      </w:r>
      <w:r w:rsidR="00124B3C">
        <w:t>60</w:t>
      </w:r>
      <w:r>
        <w:t xml:space="preserve"> – </w:t>
      </w:r>
      <w:r w:rsidR="00124B3C">
        <w:t>4</w:t>
      </w:r>
      <w:r>
        <w:t xml:space="preserve">0 = </w:t>
      </w:r>
      <w:r w:rsidR="00124B3C">
        <w:t>20</w:t>
      </w:r>
      <w:r>
        <w:t>%.</w:t>
      </w:r>
    </w:p>
    <w:p w14:paraId="43A54271" w14:textId="124DF814" w:rsidR="00217FF8" w:rsidRDefault="00217FF8" w:rsidP="00124B3C">
      <w:pPr>
        <w:ind w:left="426" w:hanging="426"/>
      </w:pPr>
      <w:r>
        <w:tab/>
        <w:t>Als je indexcijfers gebruikt krijg je een veel nauwkeuriger uitkomst. Die wordt dan:</w:t>
      </w:r>
    </w:p>
    <w:p w14:paraId="5432DB99" w14:textId="24123830" w:rsidR="00217FF8" w:rsidRDefault="00217FF8" w:rsidP="00124B3C">
      <w:pPr>
        <w:ind w:left="426" w:hanging="426"/>
      </w:pPr>
      <w:r>
        <w:tab/>
        <w:t>RIC = (160 / 140) × 100 = 114,29. Een stijging van 14,3%.</w:t>
      </w:r>
    </w:p>
    <w:p w14:paraId="6A024B99" w14:textId="6C548562" w:rsidR="00217FF8" w:rsidRDefault="00217FF8" w:rsidP="00124B3C">
      <w:pPr>
        <w:ind w:left="426" w:hanging="426"/>
      </w:pPr>
      <w:r>
        <w:tab/>
        <w:t>Je ziet dat bij grotere percentages het aftrekken van procenten een erg onnauwkeurige uitkomst geeft.</w:t>
      </w:r>
    </w:p>
    <w:p w14:paraId="0419B3BC" w14:textId="1E42A335" w:rsidR="0089169A" w:rsidRDefault="00124B3C" w:rsidP="0089169A">
      <w:pPr>
        <w:ind w:left="426" w:hanging="426"/>
      </w:pPr>
      <w:r>
        <w:t>d</w:t>
      </w:r>
      <w:r w:rsidR="0089169A">
        <w:t>.</w:t>
      </w:r>
      <w:r w:rsidR="0089169A">
        <w:tab/>
        <w:t xml:space="preserve">(113,5 </w:t>
      </w:r>
      <w:r>
        <w:t xml:space="preserve">– 108 </w:t>
      </w:r>
      <w:r w:rsidR="0089169A">
        <w:t>/ 10</w:t>
      </w:r>
      <w:r w:rsidR="00EC47C9">
        <w:t>8</w:t>
      </w:r>
      <w:r w:rsidR="0089169A">
        <w:t>) × 100</w:t>
      </w:r>
      <w:r>
        <w:t>%</w:t>
      </w:r>
      <w:r w:rsidR="0089169A">
        <w:t xml:space="preserve"> = 5</w:t>
      </w:r>
      <w:r w:rsidR="00EC47C9">
        <w:t>,1</w:t>
      </w:r>
      <w:r>
        <w:t>%</w:t>
      </w:r>
      <w:r w:rsidR="0089169A">
        <w:t>.</w:t>
      </w:r>
    </w:p>
    <w:p w14:paraId="6910DE14" w14:textId="67FE4367" w:rsidR="0089169A" w:rsidRDefault="00124B3C" w:rsidP="0089169A">
      <w:pPr>
        <w:ind w:left="426" w:hanging="426"/>
      </w:pPr>
      <w:r>
        <w:t>e</w:t>
      </w:r>
      <w:r w:rsidR="0089169A">
        <w:t>.</w:t>
      </w:r>
      <w:r w:rsidR="0089169A">
        <w:tab/>
        <w:t>2</w:t>
      </w:r>
      <w:r>
        <w:t>0% – 5,1%</w:t>
      </w:r>
      <w:r w:rsidR="0089169A">
        <w:t xml:space="preserve"> </w:t>
      </w:r>
      <w:r>
        <w:t>= 14,9%</w:t>
      </w:r>
      <w:r w:rsidR="0089169A">
        <w:t>.</w:t>
      </w:r>
    </w:p>
    <w:p w14:paraId="3F4EB5C2" w14:textId="0A602BB1" w:rsidR="00217FF8" w:rsidRDefault="00217FF8" w:rsidP="0089169A">
      <w:pPr>
        <w:ind w:left="426" w:hanging="426"/>
      </w:pPr>
      <w:r>
        <w:tab/>
        <w:t>Als je indexcijfers gebruikt wordt de uitkomst nauwkeuriger en is dan:</w:t>
      </w:r>
    </w:p>
    <w:p w14:paraId="2678D69B" w14:textId="154D7C65" w:rsidR="00217FF8" w:rsidRDefault="00217FF8" w:rsidP="0089169A">
      <w:pPr>
        <w:ind w:left="426" w:hanging="426"/>
      </w:pPr>
      <w:r>
        <w:tab/>
        <w:t>RIC per inwoner =</w:t>
      </w:r>
      <w:r w:rsidRPr="00217FF8">
        <w:t xml:space="preserve"> </w:t>
      </w:r>
      <w:r>
        <w:t>(114,</w:t>
      </w:r>
      <w:r w:rsidR="00D82356">
        <w:t>2</w:t>
      </w:r>
      <w:r>
        <w:t>9 / 105,1) × 100 = 10</w:t>
      </w:r>
      <w:r w:rsidR="00D82356">
        <w:t>8</w:t>
      </w:r>
      <w:r>
        <w:t>,</w:t>
      </w:r>
      <w:r w:rsidR="00D82356">
        <w:t>7</w:t>
      </w:r>
      <w:r>
        <w:t xml:space="preserve">. Het is gestegen met </w:t>
      </w:r>
      <w:r w:rsidR="00D82356">
        <w:t>8</w:t>
      </w:r>
      <w:r>
        <w:t>,</w:t>
      </w:r>
      <w:r w:rsidR="00D82356">
        <w:t>7</w:t>
      </w:r>
      <w:r>
        <w:t>%.</w:t>
      </w:r>
    </w:p>
    <w:p w14:paraId="47249A9A" w14:textId="5C445393" w:rsidR="0033492E" w:rsidRDefault="00124B3C" w:rsidP="00A8277E">
      <w:pPr>
        <w:ind w:left="426" w:hanging="426"/>
      </w:pPr>
      <w:r>
        <w:t>f</w:t>
      </w:r>
      <w:r w:rsidR="0089169A">
        <w:t>.</w:t>
      </w:r>
      <w:r w:rsidR="0089169A">
        <w:tab/>
      </w:r>
      <w:r w:rsidR="00A8277E">
        <w:t>Gemiddeld inkomen in 20</w:t>
      </w:r>
      <w:r w:rsidR="00217FF8">
        <w:t>1</w:t>
      </w:r>
      <w:r w:rsidR="00A8277E">
        <w:t xml:space="preserve">0 = € 600 </w:t>
      </w:r>
      <w:proofErr w:type="spellStart"/>
      <w:r w:rsidR="00A8277E">
        <w:t>mrd</w:t>
      </w:r>
      <w:proofErr w:type="spellEnd"/>
      <w:r w:rsidR="00A8277E">
        <w:t xml:space="preserve"> / (1,08 </w:t>
      </w:r>
      <w:r w:rsidR="000B2871">
        <w:t>×</w:t>
      </w:r>
      <w:r w:rsidR="00A8277E">
        <w:t xml:space="preserve"> 16 </w:t>
      </w:r>
      <w:proofErr w:type="spellStart"/>
      <w:r w:rsidR="00A8277E">
        <w:t>mln</w:t>
      </w:r>
      <w:proofErr w:type="spellEnd"/>
      <w:r w:rsidR="00A8277E">
        <w:t>) = € 34.722,22.</w:t>
      </w:r>
      <w:r w:rsidR="00A8277E">
        <w:br/>
        <w:t>Gemiddeld inkomen in 20</w:t>
      </w:r>
      <w:r w:rsidR="00217FF8">
        <w:t>2</w:t>
      </w:r>
      <w:r w:rsidR="00A8277E">
        <w:t xml:space="preserve">0 = € 960 </w:t>
      </w:r>
      <w:proofErr w:type="spellStart"/>
      <w:r w:rsidR="00A8277E">
        <w:t>mrd</w:t>
      </w:r>
      <w:proofErr w:type="spellEnd"/>
      <w:r w:rsidR="00A8277E">
        <w:t xml:space="preserve"> / (1,135 </w:t>
      </w:r>
      <w:r w:rsidR="000B2871">
        <w:t>×</w:t>
      </w:r>
      <w:r w:rsidR="00A8277E">
        <w:t xml:space="preserve"> 16 </w:t>
      </w:r>
      <w:proofErr w:type="spellStart"/>
      <w:r w:rsidR="00A8277E">
        <w:t>mln</w:t>
      </w:r>
      <w:proofErr w:type="spellEnd"/>
      <w:r w:rsidR="00A8277E">
        <w:t>) = € 52.863,44.</w:t>
      </w:r>
      <w:r w:rsidR="00A8277E">
        <w:br/>
        <w:t xml:space="preserve">Stijging gemiddeld inkomen = € 52.863,44 </w:t>
      </w:r>
      <w:r>
        <w:t>–</w:t>
      </w:r>
      <w:r w:rsidR="00A8277E">
        <w:t xml:space="preserve"> € 34.722,22 = € 18.141,21.</w:t>
      </w:r>
    </w:p>
    <w:p w14:paraId="44471CEC" w14:textId="19F621D4" w:rsidR="00875D64" w:rsidRDefault="00875D64" w:rsidP="00A8277E">
      <w:pPr>
        <w:ind w:left="426" w:hanging="426"/>
      </w:pPr>
    </w:p>
    <w:p w14:paraId="127C7246" w14:textId="72CA2DF8" w:rsidR="00875D64" w:rsidRDefault="00875D64" w:rsidP="00A8277E">
      <w:pPr>
        <w:ind w:left="426" w:hanging="426"/>
        <w:rPr>
          <w:b/>
        </w:rPr>
      </w:pPr>
      <w:r>
        <w:rPr>
          <w:b/>
        </w:rPr>
        <w:t>Uitwerking opdracht 1</w:t>
      </w:r>
      <w:r w:rsidRPr="0015452F">
        <w:rPr>
          <w:b/>
        </w:rPr>
        <w:t>.</w:t>
      </w:r>
      <w:r>
        <w:rPr>
          <w:b/>
        </w:rPr>
        <w:t>3</w:t>
      </w:r>
    </w:p>
    <w:p w14:paraId="51528A30" w14:textId="3798C777" w:rsidR="00875D64" w:rsidRDefault="00875D64" w:rsidP="00875D64">
      <w:pPr>
        <w:ind w:left="426" w:hanging="426"/>
      </w:pPr>
      <w:r>
        <w:t>a.</w:t>
      </w:r>
      <w:r>
        <w:tab/>
        <w:t>€ 4,25 miljoen – € 2 miljoen = € 2,25 miljoen.</w:t>
      </w:r>
    </w:p>
    <w:p w14:paraId="7B290275" w14:textId="07E4C9C5" w:rsidR="00875D64" w:rsidRDefault="00875D64" w:rsidP="00875D64">
      <w:pPr>
        <w:ind w:left="426" w:hanging="426"/>
      </w:pPr>
      <w:r>
        <w:t>b.</w:t>
      </w:r>
      <w:r>
        <w:tab/>
        <w:t>€ 2 miljoen + € 2,25 miljoen + € (9,75 – 4,25) = € 9,75 miljoen.</w:t>
      </w:r>
    </w:p>
    <w:p w14:paraId="6F1D363F" w14:textId="71810D33" w:rsidR="00875D64" w:rsidRDefault="00875D64" w:rsidP="00875D64">
      <w:pPr>
        <w:ind w:left="426" w:hanging="426"/>
      </w:pPr>
      <w:r>
        <w:t>c.</w:t>
      </w:r>
      <w:r>
        <w:tab/>
        <w:t>Als je de omzetten bij elkaar telt, ontstaan er dubbeltellingen. De toegevoegde waarde van de druiventeler zou in dat geval drie keer (ook bij de wijnmakers en de slijterijen) worden meegeteld in plaats van één keer.</w:t>
      </w:r>
    </w:p>
    <w:p w14:paraId="7EE46020" w14:textId="7DF7AC84" w:rsidR="00875D64" w:rsidRDefault="00875D64" w:rsidP="00875D64">
      <w:pPr>
        <w:ind w:left="426" w:hanging="426"/>
      </w:pPr>
    </w:p>
    <w:p w14:paraId="21A24834" w14:textId="778BA95B" w:rsidR="00875D64" w:rsidRPr="0003244C" w:rsidRDefault="00875D64" w:rsidP="00875D64">
      <w:pPr>
        <w:ind w:left="426" w:hanging="426"/>
        <w:rPr>
          <w:b/>
          <w:bCs/>
        </w:rPr>
      </w:pPr>
      <w:r w:rsidRPr="0003244C">
        <w:rPr>
          <w:b/>
          <w:bCs/>
        </w:rPr>
        <w:t>Uitwerking opdracht 1.4</w:t>
      </w:r>
    </w:p>
    <w:p w14:paraId="43ECF561" w14:textId="5CB6FB06" w:rsidR="00875D64" w:rsidRDefault="00A75C77" w:rsidP="00875D64">
      <w:pPr>
        <w:ind w:left="426" w:hanging="426"/>
      </w:pPr>
      <w:r>
        <w:t>a.</w:t>
      </w:r>
      <w:r>
        <w:tab/>
        <w:t>Productie in de informele economie, zoals vrijwilligerswerk, huishoudelijk werk, mantelzorg, zwart werken, enz.</w:t>
      </w:r>
    </w:p>
    <w:p w14:paraId="6B64B032" w14:textId="77777777" w:rsidR="008B0ECC" w:rsidRDefault="00A75C77" w:rsidP="00875D64">
      <w:pPr>
        <w:ind w:left="426" w:hanging="426"/>
      </w:pPr>
      <w:r>
        <w:t>b.</w:t>
      </w:r>
      <w:r>
        <w:tab/>
        <w:t>Negatieve externe effecten die de welvaart verlagen worden wel meegeteld.</w:t>
      </w:r>
    </w:p>
    <w:p w14:paraId="335197D7" w14:textId="10C86574" w:rsidR="00A75C77" w:rsidRDefault="00A75C77" w:rsidP="008B0ECC">
      <w:pPr>
        <w:ind w:left="426"/>
      </w:pPr>
      <w:bookmarkStart w:id="1" w:name="_GoBack"/>
      <w:bookmarkEnd w:id="1"/>
      <w:r>
        <w:t>Er wordt geen rekening gehouden met de uitputting van natuurlijke hulpbronnen.</w:t>
      </w:r>
    </w:p>
    <w:p w14:paraId="1CA80284" w14:textId="4ED3D500" w:rsidR="00A75C77" w:rsidRDefault="00A75C77" w:rsidP="00875D64">
      <w:pPr>
        <w:ind w:left="426" w:hanging="426"/>
      </w:pPr>
      <w:r>
        <w:t>c.</w:t>
      </w:r>
      <w:r>
        <w:tab/>
        <w:t>Natuur, milieu en duurzaamheid.</w:t>
      </w:r>
    </w:p>
    <w:p w14:paraId="7F9FB353" w14:textId="77777777" w:rsidR="008B0ECC" w:rsidRDefault="00A75C77" w:rsidP="00875D64">
      <w:pPr>
        <w:ind w:left="426" w:hanging="426"/>
      </w:pPr>
      <w:r>
        <w:t>d.</w:t>
      </w:r>
      <w:r>
        <w:tab/>
        <w:t>- De volksgezondheid, met name de levensverwachting.</w:t>
      </w:r>
    </w:p>
    <w:p w14:paraId="20ED88F6" w14:textId="2CAF7615" w:rsidR="00A75C77" w:rsidRPr="0089169A" w:rsidRDefault="00A75C77" w:rsidP="008B0ECC">
      <w:pPr>
        <w:ind w:left="426"/>
      </w:pPr>
      <w:r>
        <w:t>- Het niveau van scholing van de bevolking.</w:t>
      </w:r>
    </w:p>
    <w:sectPr w:rsidR="00A75C77" w:rsidRPr="0089169A" w:rsidSect="003349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2CAF" w14:textId="77777777" w:rsidR="006473B7" w:rsidRDefault="006473B7" w:rsidP="00DE78FB">
      <w:r>
        <w:separator/>
      </w:r>
    </w:p>
  </w:endnote>
  <w:endnote w:type="continuationSeparator" w:id="0">
    <w:p w14:paraId="1D141CC8" w14:textId="77777777" w:rsidR="006473B7" w:rsidRDefault="006473B7"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316A" w14:textId="77777777" w:rsidR="00512E5F" w:rsidRDefault="00512E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8340" w14:textId="77777777" w:rsidR="00512E5F" w:rsidRDefault="00512E5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847D" w14:textId="77777777" w:rsidR="00512E5F" w:rsidRDefault="00512E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26627" w14:textId="77777777" w:rsidR="006473B7" w:rsidRDefault="006473B7" w:rsidP="00DE78FB">
      <w:r>
        <w:separator/>
      </w:r>
    </w:p>
  </w:footnote>
  <w:footnote w:type="continuationSeparator" w:id="0">
    <w:p w14:paraId="4971BB4C" w14:textId="77777777" w:rsidR="006473B7" w:rsidRDefault="006473B7"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7D74" w14:textId="77777777" w:rsidR="00512E5F" w:rsidRDefault="00512E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cs="Arial"/>
        <w:sz w:val="16"/>
        <w:szCs w:val="16"/>
      </w:rPr>
    </w:sdtEndPr>
    <w:sdtContent>
      <w:p w14:paraId="592D3E12" w14:textId="77777777" w:rsidR="00D6173D" w:rsidRPr="00D6173D" w:rsidRDefault="00D6173D">
        <w:pPr>
          <w:pStyle w:val="Koptekst"/>
          <w:jc w:val="right"/>
          <w:rPr>
            <w:rFonts w:cs="Arial"/>
            <w:sz w:val="16"/>
            <w:szCs w:val="16"/>
          </w:rPr>
        </w:pPr>
        <w:r>
          <w:rPr>
            <w:noProof/>
            <w:sz w:val="20"/>
            <w:szCs w:val="20"/>
          </w:rPr>
          <w:drawing>
            <wp:inline distT="0" distB="0" distL="0" distR="0" wp14:anchorId="17CE977B" wp14:editId="6B95FEE1">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Verdienen en Uitgeven h</w:t>
        </w:r>
        <w:r>
          <w:rPr>
            <w:rFonts w:cs="Arial"/>
            <w:sz w:val="16"/>
            <w:szCs w:val="16"/>
          </w:rPr>
          <w:t>1</w:t>
        </w:r>
        <w:r w:rsidRPr="00BE1329">
          <w:rPr>
            <w:rFonts w:cs="Arial"/>
            <w:sz w:val="16"/>
            <w:szCs w:val="16"/>
          </w:rPr>
          <w:t xml:space="preserve"> extra oefenopgaven (website)</w:t>
        </w:r>
        <w:r>
          <w:rPr>
            <w:rFonts w:cs="Arial"/>
            <w:sz w:val="16"/>
            <w:szCs w:val="16"/>
          </w:rPr>
          <w:tab/>
        </w:r>
        <w:r w:rsidRPr="00D6173D">
          <w:rPr>
            <w:rFonts w:cs="Arial"/>
            <w:sz w:val="16"/>
            <w:szCs w:val="16"/>
          </w:rPr>
          <w:fldChar w:fldCharType="begin"/>
        </w:r>
        <w:r w:rsidRPr="00D6173D">
          <w:rPr>
            <w:rFonts w:cs="Arial"/>
            <w:sz w:val="16"/>
            <w:szCs w:val="16"/>
          </w:rPr>
          <w:instrText>PAGE   \* MERGEFORMAT</w:instrText>
        </w:r>
        <w:r w:rsidRPr="00D6173D">
          <w:rPr>
            <w:rFonts w:cs="Arial"/>
            <w:sz w:val="16"/>
            <w:szCs w:val="16"/>
          </w:rPr>
          <w:fldChar w:fldCharType="separate"/>
        </w:r>
        <w:r w:rsidR="00512E5F">
          <w:rPr>
            <w:rFonts w:cs="Arial"/>
            <w:noProof/>
            <w:sz w:val="16"/>
            <w:szCs w:val="16"/>
          </w:rPr>
          <w:t>1</w:t>
        </w:r>
        <w:r w:rsidRPr="00D6173D">
          <w:rPr>
            <w:rFonts w:cs="Arial"/>
            <w:sz w:val="16"/>
            <w:szCs w:val="1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8F77" w14:textId="77777777" w:rsidR="00512E5F" w:rsidRDefault="00512E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32F"/>
    <w:multiLevelType w:val="hybridMultilevel"/>
    <w:tmpl w:val="3BCA0EAC"/>
    <w:lvl w:ilvl="0" w:tplc="3D0A03F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3B0848"/>
    <w:multiLevelType w:val="hybridMultilevel"/>
    <w:tmpl w:val="1A86DF1A"/>
    <w:lvl w:ilvl="0" w:tplc="29E81B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3244C"/>
    <w:rsid w:val="00057A53"/>
    <w:rsid w:val="00082499"/>
    <w:rsid w:val="000B2871"/>
    <w:rsid w:val="00113206"/>
    <w:rsid w:val="00124B3C"/>
    <w:rsid w:val="001F2EC8"/>
    <w:rsid w:val="00200CC2"/>
    <w:rsid w:val="00217FF8"/>
    <w:rsid w:val="002664C3"/>
    <w:rsid w:val="002B15F0"/>
    <w:rsid w:val="002E4490"/>
    <w:rsid w:val="0033492E"/>
    <w:rsid w:val="00334C38"/>
    <w:rsid w:val="0037398A"/>
    <w:rsid w:val="00375740"/>
    <w:rsid w:val="003D3690"/>
    <w:rsid w:val="003E6879"/>
    <w:rsid w:val="00442989"/>
    <w:rsid w:val="00462E6E"/>
    <w:rsid w:val="00470328"/>
    <w:rsid w:val="004D116A"/>
    <w:rsid w:val="004D3AA6"/>
    <w:rsid w:val="00512E5F"/>
    <w:rsid w:val="005A538F"/>
    <w:rsid w:val="006473B7"/>
    <w:rsid w:val="00651C1F"/>
    <w:rsid w:val="006C2F87"/>
    <w:rsid w:val="006D68DB"/>
    <w:rsid w:val="007730CD"/>
    <w:rsid w:val="0078269C"/>
    <w:rsid w:val="007C030C"/>
    <w:rsid w:val="00875D64"/>
    <w:rsid w:val="0089169A"/>
    <w:rsid w:val="00892230"/>
    <w:rsid w:val="008B0ECC"/>
    <w:rsid w:val="0093214F"/>
    <w:rsid w:val="00933E22"/>
    <w:rsid w:val="00A75C77"/>
    <w:rsid w:val="00A8277E"/>
    <w:rsid w:val="00B56200"/>
    <w:rsid w:val="00B72874"/>
    <w:rsid w:val="00B776EA"/>
    <w:rsid w:val="00B80487"/>
    <w:rsid w:val="00BA3EE6"/>
    <w:rsid w:val="00C304A7"/>
    <w:rsid w:val="00C86E41"/>
    <w:rsid w:val="00C94E08"/>
    <w:rsid w:val="00CC1D2D"/>
    <w:rsid w:val="00CF2B2E"/>
    <w:rsid w:val="00CF72BF"/>
    <w:rsid w:val="00D53993"/>
    <w:rsid w:val="00D6173D"/>
    <w:rsid w:val="00D6558F"/>
    <w:rsid w:val="00D82356"/>
    <w:rsid w:val="00DB6DA8"/>
    <w:rsid w:val="00DE78FB"/>
    <w:rsid w:val="00DF123B"/>
    <w:rsid w:val="00E21E42"/>
    <w:rsid w:val="00E3501E"/>
    <w:rsid w:val="00E4088A"/>
    <w:rsid w:val="00E76D1E"/>
    <w:rsid w:val="00E82EA0"/>
    <w:rsid w:val="00E92F60"/>
    <w:rsid w:val="00EC47C9"/>
    <w:rsid w:val="00ED1353"/>
    <w:rsid w:val="00F139A1"/>
    <w:rsid w:val="00F34887"/>
    <w:rsid w:val="00FB2AC4"/>
    <w:rsid w:val="00FD4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paragraph" w:styleId="Revisie">
    <w:name w:val="Revision"/>
    <w:hidden/>
    <w:uiPriority w:val="99"/>
    <w:semiHidden/>
    <w:rsid w:val="00E408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4753</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2022-07-26T12:45:00Z</dcterms:created>
  <dcterms:modified xsi:type="dcterms:W3CDTF">2022-07-26T12:45:00Z</dcterms:modified>
</cp:coreProperties>
</file>