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01" w:rsidRDefault="00BE1601" w:rsidP="00BE1601">
      <w:pPr>
        <w:tabs>
          <w:tab w:val="clear" w:pos="0"/>
          <w:tab w:val="clear" w:pos="454"/>
          <w:tab w:val="clear" w:pos="680"/>
          <w:tab w:val="clear" w:pos="851"/>
          <w:tab w:val="clear" w:pos="1134"/>
          <w:tab w:val="clear" w:pos="1418"/>
          <w:tab w:val="clear" w:pos="1701"/>
          <w:tab w:val="clear" w:pos="1985"/>
          <w:tab w:val="clear" w:pos="2268"/>
          <w:tab w:val="clear" w:pos="2552"/>
        </w:tabs>
        <w:spacing w:after="160" w:line="259" w:lineRule="auto"/>
        <w:jc w:val="left"/>
        <w:rPr>
          <w:rFonts w:ascii="QuadraatSansCon-Bold" w:hAnsi="QuadraatSansCon-Bold" w:cs="Arial"/>
          <w:bCs/>
          <w:kern w:val="32"/>
          <w:sz w:val="32"/>
          <w:szCs w:val="32"/>
        </w:rPr>
      </w:pPr>
      <w:bookmarkStart w:id="0" w:name="_GoBack"/>
      <w:bookmarkEnd w:id="0"/>
      <w:r>
        <w:rPr>
          <w:rFonts w:ascii="QuadraatSansCon-Bold" w:hAnsi="QuadraatSansCon-Bold" w:cs="Arial"/>
          <w:bCs/>
          <w:kern w:val="32"/>
          <w:sz w:val="32"/>
          <w:szCs w:val="32"/>
        </w:rPr>
        <w:t>Hoofdstuk 4 – oefenopgaven</w:t>
      </w:r>
    </w:p>
    <w:p w:rsidR="00BE1601" w:rsidRDefault="00BE1601" w:rsidP="00BE1601">
      <w:pPr>
        <w:rPr>
          <w:b/>
        </w:rPr>
      </w:pPr>
      <w:r>
        <w:rPr>
          <w:b/>
        </w:rPr>
        <w:t>Opdracht 4.1</w:t>
      </w:r>
    </w:p>
    <w:p w:rsidR="00BE1601" w:rsidRPr="00DA431E" w:rsidRDefault="00BE1601" w:rsidP="00BE1601">
      <w:r w:rsidRPr="00DA431E">
        <w:t>Een land overweegt om toe te treden tot een monetaire unie. Het land heeft een tekort op de lopende rekening ten opzichte van de andere landen in de unie. Een van de problemen is de relatief hoge inflatie. De centrale bank heeft een renteaanpassing aangekondigd.</w:t>
      </w:r>
    </w:p>
    <w:p w:rsidR="00BE1601" w:rsidRPr="00DA431E" w:rsidRDefault="00BE1601" w:rsidP="00BE1601">
      <w:r w:rsidRPr="00DA431E">
        <w:t>a.</w:t>
      </w:r>
      <w:r w:rsidRPr="00DA431E">
        <w:tab/>
        <w:t xml:space="preserve">Heeft het land te maken met een sterke of zwakke concurrentiepositie? Leg het antwoord uit. </w:t>
      </w:r>
    </w:p>
    <w:p w:rsidR="00BE1601" w:rsidRPr="00DA431E" w:rsidRDefault="00BE1601" w:rsidP="00BE1601">
      <w:r w:rsidRPr="00DA431E">
        <w:t>b.</w:t>
      </w:r>
      <w:r w:rsidRPr="00DA431E">
        <w:tab/>
        <w:t>Leg uit dat na toetreding tot de muntunie het tekort op de lopende rekening niet meer automatisch zal verdwijnen.</w:t>
      </w:r>
    </w:p>
    <w:p w:rsidR="00BE1601" w:rsidRPr="00DA431E" w:rsidRDefault="00BE1601" w:rsidP="00BE1601">
      <w:r w:rsidRPr="00DA431E">
        <w:t>c.</w:t>
      </w:r>
      <w:r w:rsidRPr="00DA431E">
        <w:tab/>
        <w:t>Zal de centrale bank de rente verhogen of verlagen? Leg het antwoord uit.</w:t>
      </w:r>
    </w:p>
    <w:p w:rsidR="00BE1601" w:rsidRPr="00DA431E" w:rsidRDefault="00BE1601" w:rsidP="00BE1601"/>
    <w:p w:rsidR="00BE1601" w:rsidRPr="00DA431E" w:rsidRDefault="00BE1601" w:rsidP="00BE1601">
      <w:r w:rsidRPr="00DA431E">
        <w:t>Het land heeft aangekondigd dat het bij toetreding tot de muntunie zal inzetten op loonmatiging.</w:t>
      </w:r>
    </w:p>
    <w:p w:rsidR="00BE1601" w:rsidRPr="00DA431E" w:rsidRDefault="00BE1601" w:rsidP="00BE1601">
      <w:r w:rsidRPr="00DA431E">
        <w:t>d.</w:t>
      </w:r>
      <w:r w:rsidRPr="00DA431E">
        <w:tab/>
        <w:t>Leg uit dat loonmatiging een oplossing kan zijn voor zowel de inflatie als het tekort op de lopende rekening.</w:t>
      </w:r>
    </w:p>
    <w:p w:rsidR="00BE1601" w:rsidRPr="00BE1601" w:rsidRDefault="00BE1601" w:rsidP="00BE1601"/>
    <w:p w:rsidR="00BE1601" w:rsidRPr="002E14D6" w:rsidRDefault="00BE1601" w:rsidP="00BE1601">
      <w:pPr>
        <w:rPr>
          <w:b/>
        </w:rPr>
      </w:pPr>
      <w:r w:rsidRPr="002E14D6">
        <w:rPr>
          <w:b/>
        </w:rPr>
        <w:t xml:space="preserve">Opdracht </w:t>
      </w:r>
      <w:r>
        <w:rPr>
          <w:b/>
        </w:rPr>
        <w:t>4</w:t>
      </w:r>
      <w:r w:rsidRPr="002E14D6">
        <w:rPr>
          <w:b/>
        </w:rPr>
        <w:t>.2</w:t>
      </w:r>
    </w:p>
    <w:p w:rsidR="00BE1601" w:rsidRDefault="00BE1601" w:rsidP="00BE1601">
      <w:r>
        <w:t>a.</w:t>
      </w:r>
      <w:r>
        <w:tab/>
        <w:t>Vul de open plaatsen in.</w:t>
      </w:r>
    </w:p>
    <w:tbl>
      <w:tblPr>
        <w:tblStyle w:val="LWEOTeulings"/>
        <w:tblW w:w="0" w:type="auto"/>
        <w:tblLook w:val="04A0" w:firstRow="1" w:lastRow="0" w:firstColumn="1" w:lastColumn="0" w:noHBand="0" w:noVBand="1"/>
      </w:tblPr>
      <w:tblGrid>
        <w:gridCol w:w="622"/>
        <w:gridCol w:w="2863"/>
        <w:gridCol w:w="2863"/>
      </w:tblGrid>
      <w:tr w:rsidR="00BE1601" w:rsidRPr="00115415" w:rsidTr="00270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rsidR="00BE1601" w:rsidRPr="00115415" w:rsidRDefault="00BE1601" w:rsidP="002707DF">
            <w:pPr>
              <w:pStyle w:val="Opgave"/>
              <w:tabs>
                <w:tab w:val="clear" w:pos="0"/>
                <w:tab w:val="clear" w:pos="284"/>
                <w:tab w:val="clear" w:pos="567"/>
                <w:tab w:val="clear" w:pos="851"/>
              </w:tabs>
              <w:ind w:firstLine="0"/>
              <w:rPr>
                <w:rFonts w:ascii="QuadraatSansCon-Bold" w:hAnsi="QuadraatSansCon-Bold"/>
              </w:rPr>
            </w:pP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100000000000" w:firstRow="1" w:lastRow="0" w:firstColumn="0" w:lastColumn="0" w:oddVBand="0" w:evenVBand="0" w:oddHBand="0" w:evenHBand="0" w:firstRowFirstColumn="0" w:firstRowLastColumn="0" w:lastRowFirstColumn="0" w:lastRowLastColumn="0"/>
              <w:rPr>
                <w:rFonts w:ascii="QuadraatSansCon-Bold" w:hAnsi="QuadraatSansCon-Bold"/>
              </w:rPr>
            </w:pPr>
            <w:r w:rsidRPr="00115415">
              <w:rPr>
                <w:rFonts w:ascii="QuadraatSansCon-Bold" w:hAnsi="QuadraatSansCon-Bold"/>
              </w:rPr>
              <w:t>Staatschuld begin van het jaar</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100000000000" w:firstRow="1" w:lastRow="0" w:firstColumn="0" w:lastColumn="0" w:oddVBand="0" w:evenVBand="0" w:oddHBand="0" w:evenHBand="0" w:firstRowFirstColumn="0" w:firstRowLastColumn="0" w:lastRowFirstColumn="0" w:lastRowLastColumn="0"/>
              <w:rPr>
                <w:rFonts w:ascii="QuadraatSansCon-Bold" w:hAnsi="QuadraatSansCon-Bold"/>
              </w:rPr>
            </w:pPr>
            <w:r>
              <w:rPr>
                <w:rFonts w:ascii="QuadraatSansCon-Bold" w:hAnsi="QuadraatSansCon-Bold"/>
              </w:rPr>
              <w:t>Begrotingstekort</w:t>
            </w:r>
            <w:r w:rsidRPr="00115415">
              <w:rPr>
                <w:rFonts w:ascii="QuadraatSansCon-Bold" w:hAnsi="QuadraatSansCon-Bold"/>
              </w:rPr>
              <w:t xml:space="preserve"> in dat jaar</w:t>
            </w:r>
          </w:p>
        </w:tc>
      </w:tr>
      <w:tr w:rsidR="00BE1601" w:rsidRPr="00366667" w:rsidTr="0027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18</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r w:rsidRPr="00115415">
              <w:rPr>
                <w:rFonts w:ascii="QuadraatSans-Caps" w:hAnsi="QuadraatSans-Caps"/>
              </w:rPr>
              <w:t>350</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r w:rsidRPr="00115415">
              <w:rPr>
                <w:rFonts w:ascii="QuadraatSans-Caps" w:hAnsi="QuadraatSans-Caps"/>
              </w:rPr>
              <w:t>….</w:t>
            </w:r>
          </w:p>
        </w:tc>
      </w:tr>
      <w:tr w:rsidR="00BE1601" w:rsidRPr="00366667" w:rsidTr="002707DF">
        <w:tc>
          <w:tcPr>
            <w:cnfStyle w:val="001000000000" w:firstRow="0" w:lastRow="0" w:firstColumn="1" w:lastColumn="0" w:oddVBand="0" w:evenVBand="0" w:oddHBand="0" w:evenHBand="0" w:firstRowFirstColumn="0" w:firstRowLastColumn="0" w:lastRowFirstColumn="0" w:lastRowLastColumn="0"/>
            <w:tcW w:w="622"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19</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370</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15</w:t>
            </w:r>
          </w:p>
        </w:tc>
      </w:tr>
      <w:tr w:rsidR="00BE1601" w:rsidRPr="00366667" w:rsidTr="0027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20</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r w:rsidRPr="00115415">
              <w:rPr>
                <w:rFonts w:ascii="QuadraatSans-Caps" w:hAnsi="QuadraatSans-Caps"/>
              </w:rPr>
              <w:t>….</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r w:rsidRPr="00115415">
              <w:rPr>
                <w:rFonts w:ascii="QuadraatSans-Caps" w:hAnsi="QuadraatSans-Caps"/>
              </w:rPr>
              <w:t>….</w:t>
            </w:r>
          </w:p>
        </w:tc>
      </w:tr>
      <w:tr w:rsidR="00BE1601" w:rsidRPr="00366667" w:rsidTr="002707DF">
        <w:tc>
          <w:tcPr>
            <w:cnfStyle w:val="001000000000" w:firstRow="0" w:lastRow="0" w:firstColumn="1" w:lastColumn="0" w:oddVBand="0" w:evenVBand="0" w:oddHBand="0" w:evenHBand="0" w:firstRowFirstColumn="0" w:firstRowLastColumn="0" w:lastRowFirstColumn="0" w:lastRowLastColumn="0"/>
            <w:tcW w:w="622"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21</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385</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-2</w:t>
            </w:r>
          </w:p>
        </w:tc>
      </w:tr>
      <w:tr w:rsidR="00BE1601" w:rsidRPr="00366667" w:rsidTr="0027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22</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r w:rsidRPr="00115415">
              <w:rPr>
                <w:rFonts w:ascii="QuadraatSans-Caps" w:hAnsi="QuadraatSans-Caps"/>
              </w:rPr>
              <w:t>….</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p>
        </w:tc>
      </w:tr>
    </w:tbl>
    <w:p w:rsidR="00BE1601" w:rsidRDefault="00BE1601" w:rsidP="00BE1601">
      <w:pPr>
        <w:ind w:left="426" w:hanging="426"/>
      </w:pPr>
    </w:p>
    <w:p w:rsidR="00BE1601" w:rsidRDefault="00BE1601" w:rsidP="00BE1601">
      <w:pPr>
        <w:ind w:left="426" w:hanging="426"/>
      </w:pPr>
      <w:r>
        <w:t>Het bbp in 2018 was 500.</w:t>
      </w:r>
    </w:p>
    <w:p w:rsidR="00BE1601" w:rsidRDefault="00BE1601" w:rsidP="00BE1601">
      <w:pPr>
        <w:ind w:left="426" w:hanging="426"/>
      </w:pPr>
      <w:r>
        <w:t>b.</w:t>
      </w:r>
      <w:r>
        <w:tab/>
        <w:t>Bereken de staatschuldquote van 2018.</w:t>
      </w:r>
    </w:p>
    <w:p w:rsidR="00BE1601" w:rsidRDefault="00BE1601" w:rsidP="00BE1601">
      <w:pPr>
        <w:ind w:left="426" w:hanging="426"/>
      </w:pPr>
      <w:r>
        <w:t>c.</w:t>
      </w:r>
      <w:r>
        <w:tab/>
        <w:t>Wat gebeurt er met de staatsschuld als de overheidsinkomsten gelijk zijn aan de overheidsuitgaven?</w:t>
      </w:r>
    </w:p>
    <w:p w:rsidR="00BE1601" w:rsidRDefault="00BE1601" w:rsidP="00BE1601">
      <w:pPr>
        <w:tabs>
          <w:tab w:val="clear" w:pos="0"/>
          <w:tab w:val="clear" w:pos="454"/>
          <w:tab w:val="clear" w:pos="680"/>
          <w:tab w:val="clear" w:pos="851"/>
          <w:tab w:val="clear" w:pos="1134"/>
          <w:tab w:val="clear" w:pos="1418"/>
          <w:tab w:val="clear" w:pos="1701"/>
          <w:tab w:val="clear" w:pos="1985"/>
          <w:tab w:val="clear" w:pos="2268"/>
          <w:tab w:val="clear" w:pos="2552"/>
        </w:tabs>
        <w:spacing w:after="160" w:line="259" w:lineRule="auto"/>
        <w:jc w:val="left"/>
      </w:pPr>
      <w:r>
        <w:br w:type="page"/>
      </w:r>
    </w:p>
    <w:p w:rsidR="00BE1601" w:rsidRDefault="00BE1601" w:rsidP="00BE1601">
      <w:pPr>
        <w:tabs>
          <w:tab w:val="clear" w:pos="0"/>
          <w:tab w:val="clear" w:pos="454"/>
          <w:tab w:val="clear" w:pos="680"/>
          <w:tab w:val="clear" w:pos="851"/>
          <w:tab w:val="clear" w:pos="1134"/>
          <w:tab w:val="clear" w:pos="1418"/>
          <w:tab w:val="clear" w:pos="1701"/>
          <w:tab w:val="clear" w:pos="1985"/>
          <w:tab w:val="clear" w:pos="2268"/>
          <w:tab w:val="clear" w:pos="2552"/>
        </w:tabs>
        <w:spacing w:after="160" w:line="259" w:lineRule="auto"/>
        <w:jc w:val="left"/>
        <w:rPr>
          <w:rFonts w:ascii="QuadraatSansCon-Bold" w:hAnsi="QuadraatSansCon-Bold" w:cs="Arial"/>
          <w:bCs/>
          <w:kern w:val="32"/>
          <w:sz w:val="32"/>
          <w:szCs w:val="32"/>
        </w:rPr>
      </w:pPr>
      <w:r>
        <w:rPr>
          <w:rFonts w:ascii="QuadraatSansCon-Bold" w:hAnsi="QuadraatSansCon-Bold" w:cs="Arial"/>
          <w:bCs/>
          <w:kern w:val="32"/>
          <w:sz w:val="32"/>
          <w:szCs w:val="32"/>
        </w:rPr>
        <w:t>Hoofdstuk 4 – uitwerkingen oefenopgaven</w:t>
      </w:r>
    </w:p>
    <w:p w:rsidR="00BE1601" w:rsidRPr="00970C20" w:rsidRDefault="00BE1601" w:rsidP="00BE1601">
      <w:pPr>
        <w:rPr>
          <w:b/>
        </w:rPr>
      </w:pPr>
      <w:r w:rsidRPr="00970C20">
        <w:rPr>
          <w:b/>
        </w:rPr>
        <w:t xml:space="preserve">Uitwerking opdracht </w:t>
      </w:r>
      <w:r>
        <w:rPr>
          <w:b/>
        </w:rPr>
        <w:t>4</w:t>
      </w:r>
      <w:r w:rsidRPr="00970C20">
        <w:rPr>
          <w:b/>
        </w:rPr>
        <w:t>.1</w:t>
      </w:r>
    </w:p>
    <w:p w:rsidR="00BE1601" w:rsidRDefault="00BE1601" w:rsidP="00BE1601">
      <w:pPr>
        <w:rPr>
          <w:bCs/>
        </w:rPr>
      </w:pPr>
      <w:r>
        <w:rPr>
          <w:bCs/>
        </w:rPr>
        <w:t>a.</w:t>
      </w:r>
      <w:r>
        <w:rPr>
          <w:bCs/>
        </w:rPr>
        <w:tab/>
        <w:t>Een zwakke. Door de relatief hoge inflatie is het land ten opzichte van de andere landen in de unie relatief duur.</w:t>
      </w:r>
    </w:p>
    <w:p w:rsidR="00BE1601" w:rsidRDefault="00BE1601" w:rsidP="00BE1601">
      <w:pPr>
        <w:rPr>
          <w:bCs/>
        </w:rPr>
      </w:pPr>
      <w:r>
        <w:rPr>
          <w:bCs/>
        </w:rPr>
        <w:t>b.</w:t>
      </w:r>
      <w:r>
        <w:rPr>
          <w:bCs/>
        </w:rPr>
        <w:tab/>
        <w:t>Bij een zwakke concurrentiepositie zal normaal gesproken de munt depreciëren omdat de vraag naar de munt afneemt. De concurrentiepositie zal daardoor weer verbeteren, de export aantrekken en het tekort op de lopende rekening verdwijnen. Bij toetreding tot de muntunie kan de koers van de munt niet meer aangepast worden en zal het tekort niet meer automatisch verdwijnen.</w:t>
      </w:r>
    </w:p>
    <w:p w:rsidR="00BE1601" w:rsidRDefault="00BE1601" w:rsidP="00BE1601">
      <w:pPr>
        <w:rPr>
          <w:bCs/>
        </w:rPr>
      </w:pPr>
      <w:r>
        <w:rPr>
          <w:bCs/>
        </w:rPr>
        <w:t>c.</w:t>
      </w:r>
      <w:r>
        <w:rPr>
          <w:bCs/>
        </w:rPr>
        <w:tab/>
        <w:t>Verhogen. Door de hogere rente worden binnenlandse bestedingen geremd en besparingen gestimuleerd. Hierdoor is er minder vraag naar goederen en diensten wat (bij gelijkblijvend aanbod) tot lagere inflatie leidt.</w:t>
      </w:r>
    </w:p>
    <w:p w:rsidR="00BE1601" w:rsidRPr="00807244" w:rsidRDefault="00BE1601" w:rsidP="00BE1601">
      <w:pPr>
        <w:rPr>
          <w:bCs/>
        </w:rPr>
      </w:pPr>
      <w:r>
        <w:rPr>
          <w:bCs/>
        </w:rPr>
        <w:t>d.</w:t>
      </w:r>
      <w:r>
        <w:rPr>
          <w:bCs/>
        </w:rPr>
        <w:tab/>
        <w:t xml:space="preserve">Loonmatiging betekent dat de productiekosten van bedrijven relatief afnemen. De lagere kosten worden doorberekend in de prijzen en de inflatie neemt af. De lagere inflatie betekent een verbetering van de concurrentiepositie waardoor de vraag naar producten uit het land toeneemt en het tekort op de lopende rekening vermindert. </w:t>
      </w:r>
    </w:p>
    <w:p w:rsidR="00BE1601" w:rsidRDefault="00BE1601" w:rsidP="00BE1601">
      <w:pPr>
        <w:rPr>
          <w:b/>
        </w:rPr>
      </w:pPr>
    </w:p>
    <w:p w:rsidR="00BE1601" w:rsidRPr="002E14D6" w:rsidRDefault="00BE1601" w:rsidP="00BE1601">
      <w:pPr>
        <w:rPr>
          <w:b/>
        </w:rPr>
      </w:pPr>
      <w:r>
        <w:rPr>
          <w:b/>
        </w:rPr>
        <w:t>Uitwerking opdracht 4</w:t>
      </w:r>
      <w:r w:rsidRPr="002E14D6">
        <w:rPr>
          <w:b/>
        </w:rPr>
        <w:t>.</w:t>
      </w:r>
      <w:r>
        <w:rPr>
          <w:b/>
        </w:rPr>
        <w:t>2</w:t>
      </w:r>
    </w:p>
    <w:tbl>
      <w:tblPr>
        <w:tblStyle w:val="LWEOTeulings"/>
        <w:tblW w:w="0" w:type="auto"/>
        <w:tblLook w:val="04A0" w:firstRow="1" w:lastRow="0" w:firstColumn="1" w:lastColumn="0" w:noHBand="0" w:noVBand="1"/>
      </w:tblPr>
      <w:tblGrid>
        <w:gridCol w:w="619"/>
        <w:gridCol w:w="2863"/>
        <w:gridCol w:w="2863"/>
      </w:tblGrid>
      <w:tr w:rsidR="00BE1601" w:rsidRPr="00115415" w:rsidTr="00270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rsidR="00BE1601" w:rsidRPr="00115415" w:rsidRDefault="00BE1601" w:rsidP="002707DF">
            <w:pPr>
              <w:pStyle w:val="Opgave"/>
              <w:tabs>
                <w:tab w:val="clear" w:pos="0"/>
                <w:tab w:val="clear" w:pos="284"/>
                <w:tab w:val="clear" w:pos="567"/>
                <w:tab w:val="clear" w:pos="851"/>
              </w:tabs>
              <w:ind w:firstLine="0"/>
              <w:rPr>
                <w:rFonts w:ascii="QuadraatSansCon-Bold" w:hAnsi="QuadraatSansCon-Bold"/>
              </w:rPr>
            </w:pP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100000000000" w:firstRow="1" w:lastRow="0" w:firstColumn="0" w:lastColumn="0" w:oddVBand="0" w:evenVBand="0" w:oddHBand="0" w:evenHBand="0" w:firstRowFirstColumn="0" w:firstRowLastColumn="0" w:lastRowFirstColumn="0" w:lastRowLastColumn="0"/>
              <w:rPr>
                <w:rFonts w:ascii="QuadraatSansCon-Bold" w:hAnsi="QuadraatSansCon-Bold"/>
              </w:rPr>
            </w:pPr>
            <w:r w:rsidRPr="00115415">
              <w:rPr>
                <w:rFonts w:ascii="QuadraatSansCon-Bold" w:hAnsi="QuadraatSansCon-Bold"/>
              </w:rPr>
              <w:t>Staatschuld begin van het jaar</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100000000000" w:firstRow="1" w:lastRow="0" w:firstColumn="0" w:lastColumn="0" w:oddVBand="0" w:evenVBand="0" w:oddHBand="0" w:evenHBand="0" w:firstRowFirstColumn="0" w:firstRowLastColumn="0" w:lastRowFirstColumn="0" w:lastRowLastColumn="0"/>
              <w:rPr>
                <w:rFonts w:ascii="QuadraatSansCon-Bold" w:hAnsi="QuadraatSansCon-Bold"/>
              </w:rPr>
            </w:pPr>
            <w:r>
              <w:rPr>
                <w:rFonts w:ascii="QuadraatSansCon-Bold" w:hAnsi="QuadraatSansCon-Bold"/>
              </w:rPr>
              <w:t>Begrotingstekort</w:t>
            </w:r>
            <w:r w:rsidRPr="00115415">
              <w:rPr>
                <w:rFonts w:ascii="QuadraatSansCon-Bold" w:hAnsi="QuadraatSansCon-Bold"/>
              </w:rPr>
              <w:t xml:space="preserve"> in dat jaar</w:t>
            </w:r>
          </w:p>
        </w:tc>
      </w:tr>
      <w:tr w:rsidR="00BE1601" w:rsidRPr="00366667" w:rsidTr="0027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18</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r w:rsidRPr="00115415">
              <w:rPr>
                <w:rFonts w:ascii="QuadraatSans-Caps" w:hAnsi="QuadraatSans-Caps"/>
              </w:rPr>
              <w:t>350</w:t>
            </w:r>
          </w:p>
        </w:tc>
        <w:tc>
          <w:tcPr>
            <w:tcW w:w="2863" w:type="dxa"/>
          </w:tcPr>
          <w:p w:rsidR="00BE1601" w:rsidRPr="002E14D6"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b/>
              </w:rPr>
            </w:pPr>
            <w:r w:rsidRPr="002E14D6">
              <w:rPr>
                <w:rFonts w:ascii="QuadraatSans-Caps" w:hAnsi="QuadraatSans-Caps"/>
                <w:b/>
              </w:rPr>
              <w:t>20</w:t>
            </w:r>
          </w:p>
        </w:tc>
      </w:tr>
      <w:tr w:rsidR="00BE1601" w:rsidRPr="00366667" w:rsidTr="002707DF">
        <w:tc>
          <w:tcPr>
            <w:cnfStyle w:val="001000000000" w:firstRow="0" w:lastRow="0" w:firstColumn="1" w:lastColumn="0" w:oddVBand="0" w:evenVBand="0" w:oddHBand="0" w:evenHBand="0" w:firstRowFirstColumn="0" w:firstRowLastColumn="0" w:lastRowFirstColumn="0" w:lastRowLastColumn="0"/>
            <w:tcW w:w="619"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19</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370</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15</w:t>
            </w:r>
          </w:p>
        </w:tc>
      </w:tr>
      <w:tr w:rsidR="00BE1601" w:rsidRPr="00366667" w:rsidTr="0027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20</w:t>
            </w:r>
          </w:p>
        </w:tc>
        <w:tc>
          <w:tcPr>
            <w:tcW w:w="2863" w:type="dxa"/>
          </w:tcPr>
          <w:p w:rsidR="00BE1601" w:rsidRPr="00DA431E"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b/>
                <w:bCs/>
              </w:rPr>
            </w:pPr>
            <w:r w:rsidRPr="00DA431E">
              <w:rPr>
                <w:rFonts w:ascii="QuadraatSans-Caps" w:hAnsi="QuadraatSans-Caps"/>
                <w:b/>
                <w:bCs/>
              </w:rPr>
              <w:t>385</w:t>
            </w:r>
          </w:p>
        </w:tc>
        <w:tc>
          <w:tcPr>
            <w:tcW w:w="2863" w:type="dxa"/>
          </w:tcPr>
          <w:p w:rsidR="00BE1601" w:rsidRPr="002E14D6"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b/>
              </w:rPr>
            </w:pPr>
            <w:r w:rsidRPr="002E14D6">
              <w:rPr>
                <w:rFonts w:ascii="QuadraatSans-Caps" w:hAnsi="QuadraatSans-Caps"/>
                <w:b/>
              </w:rPr>
              <w:t>0</w:t>
            </w:r>
          </w:p>
        </w:tc>
      </w:tr>
      <w:tr w:rsidR="00BE1601" w:rsidRPr="00366667" w:rsidTr="002707DF">
        <w:tc>
          <w:tcPr>
            <w:cnfStyle w:val="001000000000" w:firstRow="0" w:lastRow="0" w:firstColumn="1" w:lastColumn="0" w:oddVBand="0" w:evenVBand="0" w:oddHBand="0" w:evenHBand="0" w:firstRowFirstColumn="0" w:firstRowLastColumn="0" w:lastRowFirstColumn="0" w:lastRowLastColumn="0"/>
            <w:tcW w:w="619"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21</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385</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000000" w:firstRow="0" w:lastRow="0" w:firstColumn="0" w:lastColumn="0" w:oddVBand="0" w:evenVBand="0" w:oddHBand="0" w:evenHBand="0" w:firstRowFirstColumn="0" w:firstRowLastColumn="0" w:lastRowFirstColumn="0" w:lastRowLastColumn="0"/>
              <w:rPr>
                <w:rFonts w:ascii="QuadraatSans-Caps" w:hAnsi="QuadraatSans-Caps"/>
              </w:rPr>
            </w:pPr>
            <w:r w:rsidRPr="00115415">
              <w:rPr>
                <w:rFonts w:ascii="QuadraatSans-Caps" w:hAnsi="QuadraatSans-Caps"/>
              </w:rPr>
              <w:t>-2</w:t>
            </w:r>
          </w:p>
        </w:tc>
      </w:tr>
      <w:tr w:rsidR="00BE1601" w:rsidRPr="00366667" w:rsidTr="00270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 w:type="dxa"/>
          </w:tcPr>
          <w:p w:rsidR="00BE1601" w:rsidRPr="00115415" w:rsidRDefault="00BE1601" w:rsidP="002707DF">
            <w:pPr>
              <w:pStyle w:val="Opgave"/>
              <w:tabs>
                <w:tab w:val="clear" w:pos="0"/>
                <w:tab w:val="clear" w:pos="284"/>
                <w:tab w:val="clear" w:pos="567"/>
                <w:tab w:val="clear" w:pos="851"/>
              </w:tabs>
              <w:ind w:firstLine="0"/>
              <w:rPr>
                <w:rFonts w:ascii="QuadraatSansCon-Regular" w:hAnsi="QuadraatSansCon-Regular"/>
              </w:rPr>
            </w:pPr>
            <w:r w:rsidRPr="00115415">
              <w:rPr>
                <w:rFonts w:ascii="QuadraatSansCon-Regular" w:hAnsi="QuadraatSansCon-Regular"/>
              </w:rPr>
              <w:t>20</w:t>
            </w:r>
            <w:r>
              <w:rPr>
                <w:rFonts w:ascii="QuadraatSansCon-Regular" w:hAnsi="QuadraatSansCon-Regular"/>
              </w:rPr>
              <w:t>22</w:t>
            </w:r>
          </w:p>
        </w:tc>
        <w:tc>
          <w:tcPr>
            <w:tcW w:w="2863" w:type="dxa"/>
          </w:tcPr>
          <w:p w:rsidR="00BE1601" w:rsidRPr="002E14D6"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b/>
              </w:rPr>
            </w:pPr>
            <w:r w:rsidRPr="002E14D6">
              <w:rPr>
                <w:rFonts w:ascii="QuadraatSans-Caps" w:hAnsi="QuadraatSans-Caps"/>
                <w:b/>
              </w:rPr>
              <w:t>383</w:t>
            </w:r>
          </w:p>
        </w:tc>
        <w:tc>
          <w:tcPr>
            <w:tcW w:w="2863" w:type="dxa"/>
          </w:tcPr>
          <w:p w:rsidR="00BE1601" w:rsidRPr="00115415" w:rsidRDefault="00BE1601" w:rsidP="002707DF">
            <w:pPr>
              <w:pStyle w:val="Opgave"/>
              <w:tabs>
                <w:tab w:val="clear" w:pos="0"/>
                <w:tab w:val="clear" w:pos="284"/>
                <w:tab w:val="clear" w:pos="567"/>
                <w:tab w:val="clear" w:pos="851"/>
              </w:tabs>
              <w:ind w:firstLine="0"/>
              <w:jc w:val="center"/>
              <w:cnfStyle w:val="000000100000" w:firstRow="0" w:lastRow="0" w:firstColumn="0" w:lastColumn="0" w:oddVBand="0" w:evenVBand="0" w:oddHBand="1" w:evenHBand="0" w:firstRowFirstColumn="0" w:firstRowLastColumn="0" w:lastRowFirstColumn="0" w:lastRowLastColumn="0"/>
              <w:rPr>
                <w:rFonts w:ascii="QuadraatSans-Caps" w:hAnsi="QuadraatSans-Caps"/>
              </w:rPr>
            </w:pPr>
          </w:p>
        </w:tc>
      </w:tr>
    </w:tbl>
    <w:p w:rsidR="00BE1601" w:rsidRDefault="00BE1601" w:rsidP="00BE1601">
      <w:pPr>
        <w:tabs>
          <w:tab w:val="left" w:pos="426"/>
        </w:tabs>
      </w:pPr>
      <w:r>
        <w:t>b.</w:t>
      </w:r>
      <w:r>
        <w:tab/>
        <w:t xml:space="preserve">De staatsschuld aan het einde van 2018 is gelijk aan die van begin 2019. Staatsschuldquote 2018 = 370/500 </w:t>
      </w:r>
      <w:r w:rsidRPr="00970C20">
        <w:t>×</w:t>
      </w:r>
      <w:r>
        <w:t xml:space="preserve"> 100% = 74%.</w:t>
      </w:r>
    </w:p>
    <w:p w:rsidR="00483C6B" w:rsidRDefault="00BE1601" w:rsidP="00BE1601">
      <w:pPr>
        <w:tabs>
          <w:tab w:val="left" w:pos="-2694"/>
        </w:tabs>
        <w:ind w:left="426" w:hanging="426"/>
      </w:pPr>
      <w:r>
        <w:t>c</w:t>
      </w:r>
      <w:r w:rsidRPr="00970C20">
        <w:t>.</w:t>
      </w:r>
      <w:r w:rsidRPr="00970C20">
        <w:tab/>
        <w:t>De staatsschuld blijft gelijk.</w:t>
      </w:r>
    </w:p>
    <w:sectPr w:rsidR="00483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draatSans-Regular">
    <w:altName w:val="Calibri"/>
    <w:panose1 w:val="02010504050101020103"/>
    <w:charset w:val="00"/>
    <w:family w:val="auto"/>
    <w:pitch w:val="variable"/>
    <w:sig w:usb0="8000002F" w:usb1="4000004A" w:usb2="00000000" w:usb3="00000000" w:csb0="00000001" w:csb1="00000000"/>
  </w:font>
  <w:font w:name="Quadraat-Regular">
    <w:altName w:val="Nyala"/>
    <w:panose1 w:val="02010504070101020104"/>
    <w:charset w:val="00"/>
    <w:family w:val="auto"/>
    <w:pitch w:val="variable"/>
    <w:sig w:usb0="8000002F" w:usb1="4000004A" w:usb2="00000000" w:usb3="00000000" w:csb0="00000001" w:csb1="00000000"/>
  </w:font>
  <w:font w:name="QuadraatSans-Caps">
    <w:altName w:val="Centaur"/>
    <w:panose1 w:val="02010504050101020104"/>
    <w:charset w:val="00"/>
    <w:family w:val="auto"/>
    <w:pitch w:val="variable"/>
    <w:sig w:usb0="8000002F" w:usb1="4000004A" w:usb2="00000000" w:usb3="00000000" w:csb0="00000001" w:csb1="00000000"/>
  </w:font>
  <w:font w:name="QuadraatSansCon-Bold">
    <w:altName w:val="Centaur"/>
    <w:panose1 w:val="02010504050101020103"/>
    <w:charset w:val="00"/>
    <w:family w:val="auto"/>
    <w:pitch w:val="variable"/>
    <w:sig w:usb0="80000027" w:usb1="00000000" w:usb2="00000000" w:usb3="00000000" w:csb0="00000001" w:csb1="00000000"/>
  </w:font>
  <w:font w:name="QuadraatSansCon-Italic">
    <w:altName w:val="MV Boli"/>
    <w:panose1 w:val="02010504040101090104"/>
    <w:charset w:val="00"/>
    <w:family w:val="auto"/>
    <w:pitch w:val="variable"/>
    <w:sig w:usb0="80000027" w:usb1="00000000" w:usb2="00000000" w:usb3="00000000" w:csb0="00000001" w:csb1="00000000"/>
  </w:font>
  <w:font w:name="QuadraatSansCon-Regular">
    <w:altName w:val="Centaur"/>
    <w:panose1 w:val="02010504050101020103"/>
    <w:charset w:val="00"/>
    <w:family w:val="auto"/>
    <w:pitch w:val="variable"/>
    <w:sig w:usb0="80000027"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98"/>
    <w:rsid w:val="000E2398"/>
    <w:rsid w:val="00483C6B"/>
    <w:rsid w:val="007926A9"/>
    <w:rsid w:val="00B47914"/>
    <w:rsid w:val="00B77CD4"/>
    <w:rsid w:val="00BC747E"/>
    <w:rsid w:val="00BE1601"/>
    <w:rsid w:val="00D5677D"/>
    <w:rsid w:val="00E21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98D56F9A-BB9C-4945-908D-046BF7A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1601"/>
    <w:pPr>
      <w:tabs>
        <w:tab w:val="left" w:pos="0"/>
        <w:tab w:val="left" w:pos="454"/>
        <w:tab w:val="left" w:pos="680"/>
        <w:tab w:val="left" w:pos="851"/>
        <w:tab w:val="left" w:pos="1134"/>
        <w:tab w:val="left" w:pos="1418"/>
        <w:tab w:val="left" w:pos="1701"/>
        <w:tab w:val="left" w:pos="1985"/>
        <w:tab w:val="left" w:pos="2268"/>
        <w:tab w:val="left" w:pos="2552"/>
      </w:tabs>
      <w:spacing w:after="120" w:line="240" w:lineRule="auto"/>
      <w:jc w:val="both"/>
    </w:pPr>
    <w:rPr>
      <w:rFonts w:ascii="QuadraatSans-Regular" w:eastAsia="Times New Roman" w:hAnsi="QuadraatSans-Regular"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gave">
    <w:name w:val="Opgave"/>
    <w:basedOn w:val="Standaard"/>
    <w:qFormat/>
    <w:rsid w:val="00BE1601"/>
    <w:pPr>
      <w:tabs>
        <w:tab w:val="clear" w:pos="454"/>
        <w:tab w:val="clear" w:pos="680"/>
        <w:tab w:val="clear" w:pos="1134"/>
        <w:tab w:val="clear" w:pos="1418"/>
        <w:tab w:val="clear" w:pos="1701"/>
        <w:tab w:val="clear" w:pos="1985"/>
        <w:tab w:val="clear" w:pos="2268"/>
        <w:tab w:val="clear" w:pos="2552"/>
        <w:tab w:val="left" w:pos="284"/>
        <w:tab w:val="left" w:pos="567"/>
      </w:tabs>
      <w:overflowPunct w:val="0"/>
      <w:autoSpaceDE w:val="0"/>
      <w:autoSpaceDN w:val="0"/>
      <w:adjustRightInd w:val="0"/>
      <w:spacing w:after="60"/>
      <w:ind w:hanging="567"/>
      <w:contextualSpacing/>
      <w:textAlignment w:val="baseline"/>
    </w:pPr>
    <w:rPr>
      <w:rFonts w:ascii="Quadraat-Regular" w:hAnsi="Quadraat-Regular"/>
    </w:rPr>
  </w:style>
  <w:style w:type="table" w:customStyle="1" w:styleId="LWEOTeulings">
    <w:name w:val="LWEO Teulings"/>
    <w:basedOn w:val="Standaardtabel"/>
    <w:uiPriority w:val="99"/>
    <w:qFormat/>
    <w:rsid w:val="00BE1601"/>
    <w:pPr>
      <w:spacing w:after="0" w:line="240" w:lineRule="auto"/>
      <w:jc w:val="right"/>
    </w:pPr>
    <w:rPr>
      <w:rFonts w:ascii="QuadraatSans-Caps" w:eastAsia="Times New Roman" w:hAnsi="QuadraatSans-Caps" w:cs="Times New Roman"/>
      <w:sz w:val="18"/>
      <w:szCs w:val="20"/>
      <w:lang w:eastAsia="nl-NL"/>
    </w:rPr>
    <w:tblPr>
      <w:tblStyleRowBandSize w:val="1"/>
      <w:tblStyleColBandSize w:val="1"/>
      <w:tblInd w:w="113" w:type="dxa"/>
      <w:tblBorders>
        <w:bottom w:val="single" w:sz="4" w:space="0" w:color="000000" w:themeColor="text1"/>
      </w:tblBorders>
    </w:tblPr>
    <w:tcPr>
      <w:vAlign w:val="center"/>
    </w:tcPr>
    <w:tblStylePr w:type="firstRow">
      <w:pPr>
        <w:jc w:val="center"/>
      </w:pPr>
      <w:rPr>
        <w:rFonts w:ascii="QuadraatSansCon-Bold" w:hAnsi="QuadraatSansCon-Bold"/>
        <w:sz w:val="18"/>
      </w:rPr>
      <w:tblPr/>
      <w:tcPr>
        <w:shd w:val="clear" w:color="auto" w:fill="000000" w:themeFill="text1"/>
      </w:tcPr>
    </w:tblStylePr>
    <w:tblStylePr w:type="lastRow">
      <w:pPr>
        <w:jc w:val="right"/>
      </w:pPr>
      <w:rPr>
        <w:rFonts w:ascii="QuadraatSansCon-Italic" w:hAnsi="QuadraatSansCon-Italic"/>
        <w:sz w:val="18"/>
      </w:rPr>
    </w:tblStylePr>
    <w:tblStylePr w:type="firstCol">
      <w:pPr>
        <w:jc w:val="left"/>
      </w:pPr>
      <w:rPr>
        <w:rFonts w:ascii="QuadraatSansCon-Regular" w:hAnsi="QuadraatSansCon-Regular"/>
      </w:rPr>
    </w:tblStylePr>
    <w:tblStylePr w:type="lastCol">
      <w:pPr>
        <w:jc w:val="right"/>
      </w:pPr>
      <w:rPr>
        <w:rFonts w:ascii="QuadraatSansCon-Italic" w:hAnsi="QuadraatSansCon-Italic"/>
      </w:rPr>
    </w:tblStylePr>
    <w:tblStylePr w:type="band1Horz">
      <w:tblPr/>
      <w:tcPr>
        <w:shd w:val="clear" w:color="auto" w:fill="BFBFBF" w:themeFill="background1" w:themeFillShade="BF"/>
      </w:tcPr>
    </w:tblStylePr>
  </w:style>
  <w:style w:type="paragraph" w:customStyle="1" w:styleId="OpgaveOpening">
    <w:name w:val="OpgaveOpening"/>
    <w:basedOn w:val="Opgave"/>
    <w:next w:val="Opgave"/>
    <w:qFormat/>
    <w:rsid w:val="00BE1601"/>
    <w:pPr>
      <w:tabs>
        <w:tab w:val="clear" w:pos="0"/>
        <w:tab w:val="left" w:pos="1134"/>
        <w:tab w:val="left" w:pos="1418"/>
      </w:tabs>
      <w:suppressAutoHyphens/>
      <w:spacing w:after="0"/>
      <w:ind w:left="284" w:hanging="1418"/>
      <w:contextualSpacing w:val="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LWEO</dc:creator>
  <cp:keywords/>
  <dc:description/>
  <cp:lastModifiedBy>LWEO</cp:lastModifiedBy>
  <cp:revision>2</cp:revision>
  <dcterms:created xsi:type="dcterms:W3CDTF">2022-02-24T15:00:00Z</dcterms:created>
  <dcterms:modified xsi:type="dcterms:W3CDTF">2022-02-24T15:02:00Z</dcterms:modified>
</cp:coreProperties>
</file>