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39" w:rsidRDefault="008A1A39" w:rsidP="008A1A39">
      <w:pPr>
        <w:rPr>
          <w:b/>
          <w:bCs/>
          <w:szCs w:val="24"/>
        </w:rPr>
      </w:pPr>
      <w:r w:rsidRPr="00005FE3">
        <w:rPr>
          <w:b/>
          <w:bCs/>
          <w:szCs w:val="24"/>
        </w:rPr>
        <w:t>Oefenopga</w:t>
      </w:r>
      <w:r w:rsidR="0063689D">
        <w:rPr>
          <w:b/>
          <w:bCs/>
          <w:szCs w:val="24"/>
        </w:rPr>
        <w:t>ven openbare website Hoofdstuk 3</w:t>
      </w:r>
    </w:p>
    <w:p w:rsidR="00A3610C" w:rsidRDefault="00A3610C" w:rsidP="008A1A39"/>
    <w:p w:rsidR="0063689D" w:rsidRPr="00BD148B" w:rsidRDefault="0063689D" w:rsidP="0063689D">
      <w:pPr>
        <w:ind w:left="705" w:hanging="705"/>
        <w:rPr>
          <w:b/>
        </w:rPr>
      </w:pPr>
      <w:r w:rsidRPr="00BD148B">
        <w:rPr>
          <w:b/>
        </w:rPr>
        <w:t>Opdracht 3.1 Winst onder druk ondanks groei</w:t>
      </w:r>
    </w:p>
    <w:p w:rsidR="0063689D" w:rsidRDefault="0063689D" w:rsidP="0063689D">
      <w:r>
        <w:t xml:space="preserve">Van 2017 tot 2022 groeide de economie van Geelland jaarlijks met 2,5% bij een trendmatige groei van 2%. Ondanks deze hoogconjunctuur nam de winstgevendheid van het </w:t>
      </w:r>
      <w:proofErr w:type="spellStart"/>
      <w:r>
        <w:t>Geellandse</w:t>
      </w:r>
      <w:proofErr w:type="spellEnd"/>
      <w:r>
        <w:t xml:space="preserve"> bedrijfsleven af. Een belangrijke oorzaak daarvan was de loonontwikkeling: de lonen stegen …(a)… dan de …(b)… , waardoor de loonkosten per …(c)… toenamen.</w:t>
      </w:r>
    </w:p>
    <w:p w:rsidR="0063689D" w:rsidRDefault="0063689D" w:rsidP="0063689D">
      <w:r>
        <w:t>Verder kreeg het bedrijfsleven te maken met hogere kosten vanwege de …(d)… prijzen van grondstoffen. Bedrijven konden deze kostenstijgingen …(e)… afwentelen op hun …(f)…, zodat ook hierdoor de winstgevendheid onder druk kwam te staan. Economen verwachtten dat deze ontwikkeling de groei van de werkgelegenheid na 2022 zou …(g)…, doordat bedrijven zouden overgaan op …(h)…-investeringen.</w:t>
      </w:r>
    </w:p>
    <w:p w:rsidR="0063689D" w:rsidRDefault="0063689D" w:rsidP="0063689D">
      <w:r>
        <w:t>Wat moet in plaats van de letters worden ingevuld om een economisch correcte tekst te krijgen?</w:t>
      </w:r>
    </w:p>
    <w:p w:rsidR="0063689D" w:rsidRDefault="0063689D" w:rsidP="0063689D">
      <w:r>
        <w:t>bij (a)</w:t>
      </w:r>
      <w:r>
        <w:tab/>
        <w:t>meer/minder</w:t>
      </w:r>
    </w:p>
    <w:p w:rsidR="0063689D" w:rsidRDefault="0063689D" w:rsidP="0063689D">
      <w:r>
        <w:t>bij (b)</w:t>
      </w:r>
      <w:r>
        <w:tab/>
        <w:t>arbeidsproductiviteit/productiecapaciteit</w:t>
      </w:r>
    </w:p>
    <w:p w:rsidR="0063689D" w:rsidRDefault="0063689D" w:rsidP="0063689D">
      <w:r>
        <w:t>bij (c)</w:t>
      </w:r>
      <w:r>
        <w:tab/>
        <w:t>werknemer/product</w:t>
      </w:r>
    </w:p>
    <w:p w:rsidR="0063689D" w:rsidRDefault="0063689D" w:rsidP="0063689D">
      <w:r>
        <w:t>bij (d)</w:t>
      </w:r>
      <w:r>
        <w:tab/>
        <w:t>dalende/stijgende</w:t>
      </w:r>
    </w:p>
    <w:p w:rsidR="0063689D" w:rsidRDefault="0063689D" w:rsidP="0063689D">
      <w:r>
        <w:t>bij (e)</w:t>
      </w:r>
      <w:r>
        <w:tab/>
        <w:t>beperkt/volledig</w:t>
      </w:r>
    </w:p>
    <w:p w:rsidR="0063689D" w:rsidRDefault="0063689D" w:rsidP="0063689D">
      <w:r>
        <w:t>bij (f)</w:t>
      </w:r>
      <w:r>
        <w:tab/>
        <w:t>klanten/leveranciers</w:t>
      </w:r>
    </w:p>
    <w:p w:rsidR="0063689D" w:rsidRDefault="0063689D" w:rsidP="0063689D">
      <w:r>
        <w:t>bij (g)</w:t>
      </w:r>
      <w:r>
        <w:tab/>
        <w:t>afremmen/bevorderen</w:t>
      </w:r>
    </w:p>
    <w:p w:rsidR="0063689D" w:rsidRDefault="0063689D" w:rsidP="0063689D">
      <w:r>
        <w:t>bij (h)</w:t>
      </w:r>
      <w:r>
        <w:tab/>
        <w:t>breedte/diepte</w:t>
      </w:r>
    </w:p>
    <w:p w:rsidR="0063689D" w:rsidRDefault="0063689D" w:rsidP="0063689D">
      <w:pPr>
        <w:spacing w:after="160" w:line="259" w:lineRule="auto"/>
      </w:pPr>
      <w:r>
        <w:br w:type="page"/>
      </w:r>
    </w:p>
    <w:p w:rsidR="0063689D" w:rsidRPr="00BD148B" w:rsidRDefault="0063689D" w:rsidP="0063689D">
      <w:pPr>
        <w:ind w:left="705" w:hanging="705"/>
        <w:rPr>
          <w:b/>
        </w:rPr>
      </w:pPr>
      <w:r w:rsidRPr="00BD148B">
        <w:rPr>
          <w:b/>
        </w:rPr>
        <w:t>Opdracht 3.2</w:t>
      </w:r>
    </w:p>
    <w:p w:rsidR="0063689D" w:rsidRDefault="0063689D" w:rsidP="0063689D">
      <w:r>
        <w:t xml:space="preserve">In 2020 bedraagt de productie en omzet van </w:t>
      </w:r>
      <w:proofErr w:type="spellStart"/>
      <w:r>
        <w:t>Pinck</w:t>
      </w:r>
      <w:proofErr w:type="spellEnd"/>
      <w:r>
        <w:t xml:space="preserve"> € 120 miljoen. Bij </w:t>
      </w:r>
      <w:proofErr w:type="spellStart"/>
      <w:r>
        <w:t>Pinck</w:t>
      </w:r>
      <w:proofErr w:type="spellEnd"/>
      <w:r>
        <w:t xml:space="preserve"> werken 400 mensen fulltime en 200 mensen parttime (= 50%).</w:t>
      </w:r>
    </w:p>
    <w:p w:rsidR="0063689D" w:rsidRDefault="0063689D" w:rsidP="0063689D">
      <w:r>
        <w:t>a.</w:t>
      </w:r>
      <w:r>
        <w:tab/>
        <w:t xml:space="preserve">Bereken de hoogte van de arbeidsproductiviteit bij </w:t>
      </w:r>
      <w:proofErr w:type="spellStart"/>
      <w:r>
        <w:t>Pinck</w:t>
      </w:r>
      <w:proofErr w:type="spellEnd"/>
      <w:r>
        <w:t>.</w:t>
      </w:r>
    </w:p>
    <w:p w:rsidR="0063689D" w:rsidRDefault="0063689D" w:rsidP="0063689D"/>
    <w:p w:rsidR="0063689D" w:rsidRDefault="0063689D" w:rsidP="0063689D">
      <w:r>
        <w:t>Door invoering van nieuwe machines stijgt de arbeidsproductiviteit met 50%. De productie/afzet stijgt met 20%. Het overtollige personeel wordt ontslagen, te beginnen met de parttimers.</w:t>
      </w:r>
    </w:p>
    <w:p w:rsidR="0063689D" w:rsidRDefault="0063689D" w:rsidP="0063689D">
      <w:r>
        <w:t>b.</w:t>
      </w:r>
      <w:r>
        <w:tab/>
        <w:t>Bereken het aantal mensen dat ontslagen wordt.</w:t>
      </w:r>
    </w:p>
    <w:p w:rsidR="0063689D" w:rsidRDefault="0063689D" w:rsidP="0063689D"/>
    <w:p w:rsidR="0063689D" w:rsidRDefault="0063689D" w:rsidP="0063689D">
      <w:r>
        <w:t>De werknemers zijn van mening dat door de gestegen arbeidsproductiviteit de lonen ook moeten stijgen. Zij eisen daarom een loonstijging van 20% en dreigen met staken als hun eisen niet ingewilligd worden. De werkgever gaat na lang onderhandelen akkoord met een loonstijging van 20%.</w:t>
      </w:r>
    </w:p>
    <w:p w:rsidR="0063689D" w:rsidRDefault="0063689D" w:rsidP="0063689D">
      <w:pPr>
        <w:ind w:left="705" w:hanging="705"/>
      </w:pPr>
      <w:r>
        <w:t>c.</w:t>
      </w:r>
      <w:r>
        <w:tab/>
        <w:t>Bereken met hoeveel procent de loonkosten per product zijn gestegen of gedaald als gevolg van de stijging van de arbeidsproductiviteit en de stijging van de lonen.</w:t>
      </w:r>
    </w:p>
    <w:p w:rsidR="0063689D" w:rsidRPr="00CD1B55" w:rsidRDefault="0063689D" w:rsidP="0063689D"/>
    <w:p w:rsidR="0063689D" w:rsidRPr="00BD148B" w:rsidRDefault="0063689D" w:rsidP="0063689D">
      <w:pPr>
        <w:rPr>
          <w:b/>
        </w:rPr>
      </w:pPr>
      <w:r>
        <w:rPr>
          <w:b/>
        </w:rPr>
        <w:t>Opdracht 3.3</w:t>
      </w:r>
    </w:p>
    <w:p w:rsidR="0063689D" w:rsidRDefault="0063689D" w:rsidP="0063689D">
      <w:r w:rsidRPr="00CD1B55">
        <w:t>De tabel hieronder geeft de procentuele verandering van de productie, werkgelegenheid en arbeidsproductiviteit in een land weer.</w:t>
      </w:r>
    </w:p>
    <w:p w:rsidR="0063689D" w:rsidRPr="00CD1B55" w:rsidRDefault="0063689D" w:rsidP="0063689D"/>
    <w:tbl>
      <w:tblPr>
        <w:tblStyle w:val="Tabelraster"/>
        <w:tblW w:w="0" w:type="auto"/>
        <w:tblInd w:w="0" w:type="dxa"/>
        <w:tblLook w:val="04A0" w:firstRow="1" w:lastRow="0" w:firstColumn="1" w:lastColumn="0" w:noHBand="0" w:noVBand="1"/>
      </w:tblPr>
      <w:tblGrid>
        <w:gridCol w:w="2234"/>
        <w:gridCol w:w="2230"/>
        <w:gridCol w:w="2256"/>
        <w:gridCol w:w="2342"/>
      </w:tblGrid>
      <w:tr w:rsidR="0063689D" w:rsidTr="00F5298C">
        <w:tc>
          <w:tcPr>
            <w:tcW w:w="2265" w:type="dxa"/>
          </w:tcPr>
          <w:p w:rsidR="0063689D" w:rsidRPr="00CD1B55" w:rsidRDefault="0063689D" w:rsidP="00F5298C"/>
        </w:tc>
        <w:tc>
          <w:tcPr>
            <w:tcW w:w="2265" w:type="dxa"/>
          </w:tcPr>
          <w:p w:rsidR="0063689D" w:rsidRPr="00CD1B55" w:rsidRDefault="0063689D" w:rsidP="00F5298C">
            <w:pPr>
              <w:jc w:val="center"/>
              <w:rPr>
                <w:b/>
              </w:rPr>
            </w:pPr>
            <w:r w:rsidRPr="00CD1B55">
              <w:rPr>
                <w:b/>
              </w:rPr>
              <w:t>Productie</w:t>
            </w:r>
          </w:p>
        </w:tc>
        <w:tc>
          <w:tcPr>
            <w:tcW w:w="2266" w:type="dxa"/>
          </w:tcPr>
          <w:p w:rsidR="0063689D" w:rsidRPr="00CD1B55" w:rsidRDefault="0063689D" w:rsidP="00F5298C">
            <w:pPr>
              <w:jc w:val="center"/>
              <w:rPr>
                <w:b/>
              </w:rPr>
            </w:pPr>
            <w:r w:rsidRPr="00CD1B55">
              <w:rPr>
                <w:b/>
              </w:rPr>
              <w:t>Werkgelegenheid</w:t>
            </w:r>
          </w:p>
        </w:tc>
        <w:tc>
          <w:tcPr>
            <w:tcW w:w="2266" w:type="dxa"/>
          </w:tcPr>
          <w:p w:rsidR="0063689D" w:rsidRPr="00CD1B55" w:rsidRDefault="0063689D" w:rsidP="00F5298C">
            <w:pPr>
              <w:jc w:val="center"/>
              <w:rPr>
                <w:b/>
              </w:rPr>
            </w:pPr>
            <w:r w:rsidRPr="00CD1B55">
              <w:rPr>
                <w:b/>
              </w:rPr>
              <w:t>Arbeidsproductiviteit</w:t>
            </w:r>
          </w:p>
        </w:tc>
      </w:tr>
      <w:tr w:rsidR="0063689D" w:rsidTr="00F5298C">
        <w:tc>
          <w:tcPr>
            <w:tcW w:w="2265" w:type="dxa"/>
          </w:tcPr>
          <w:p w:rsidR="0063689D" w:rsidRPr="00CD1B55" w:rsidRDefault="0063689D" w:rsidP="00F5298C">
            <w:r w:rsidRPr="00CD1B55">
              <w:t>Primaire sector</w:t>
            </w:r>
          </w:p>
        </w:tc>
        <w:tc>
          <w:tcPr>
            <w:tcW w:w="2265" w:type="dxa"/>
          </w:tcPr>
          <w:p w:rsidR="0063689D" w:rsidRPr="00CD1B55" w:rsidRDefault="0063689D" w:rsidP="00F5298C">
            <w:pPr>
              <w:jc w:val="center"/>
            </w:pPr>
            <w:r w:rsidRPr="00CD1B55">
              <w:t>+8%</w:t>
            </w:r>
          </w:p>
        </w:tc>
        <w:tc>
          <w:tcPr>
            <w:tcW w:w="2266" w:type="dxa"/>
          </w:tcPr>
          <w:p w:rsidR="0063689D" w:rsidRPr="00CD1B55" w:rsidRDefault="0063689D" w:rsidP="00F5298C">
            <w:pPr>
              <w:jc w:val="center"/>
            </w:pPr>
            <w:r w:rsidRPr="00CD1B55">
              <w:t>(a)</w:t>
            </w:r>
          </w:p>
        </w:tc>
        <w:tc>
          <w:tcPr>
            <w:tcW w:w="2266" w:type="dxa"/>
          </w:tcPr>
          <w:p w:rsidR="0063689D" w:rsidRPr="00CD1B55" w:rsidRDefault="0063689D" w:rsidP="00F5298C">
            <w:pPr>
              <w:jc w:val="center"/>
            </w:pPr>
            <w:r w:rsidRPr="00CD1B55">
              <w:t>+15%</w:t>
            </w:r>
          </w:p>
        </w:tc>
      </w:tr>
      <w:tr w:rsidR="0063689D" w:rsidTr="00F5298C">
        <w:tc>
          <w:tcPr>
            <w:tcW w:w="2265" w:type="dxa"/>
          </w:tcPr>
          <w:p w:rsidR="0063689D" w:rsidRPr="00CD1B55" w:rsidRDefault="0063689D" w:rsidP="00F5298C">
            <w:r w:rsidRPr="00CD1B55">
              <w:t>Secundaire sector</w:t>
            </w:r>
          </w:p>
        </w:tc>
        <w:tc>
          <w:tcPr>
            <w:tcW w:w="2265" w:type="dxa"/>
          </w:tcPr>
          <w:p w:rsidR="0063689D" w:rsidRPr="00CD1B55" w:rsidRDefault="0063689D" w:rsidP="00F5298C">
            <w:pPr>
              <w:jc w:val="center"/>
            </w:pPr>
            <w:r w:rsidRPr="00CD1B55">
              <w:t>(b)</w:t>
            </w:r>
          </w:p>
        </w:tc>
        <w:tc>
          <w:tcPr>
            <w:tcW w:w="2266" w:type="dxa"/>
          </w:tcPr>
          <w:p w:rsidR="0063689D" w:rsidRPr="00CD1B55" w:rsidRDefault="0063689D" w:rsidP="00F5298C">
            <w:pPr>
              <w:jc w:val="center"/>
            </w:pPr>
            <w:r w:rsidRPr="00CD1B55">
              <w:t>-4,7%</w:t>
            </w:r>
          </w:p>
        </w:tc>
        <w:tc>
          <w:tcPr>
            <w:tcW w:w="2266" w:type="dxa"/>
          </w:tcPr>
          <w:p w:rsidR="0063689D" w:rsidRPr="00CD1B55" w:rsidRDefault="0063689D" w:rsidP="00F5298C">
            <w:pPr>
              <w:jc w:val="center"/>
            </w:pPr>
            <w:r w:rsidRPr="00CD1B55">
              <w:t>+17,5%</w:t>
            </w:r>
          </w:p>
        </w:tc>
      </w:tr>
      <w:tr w:rsidR="0063689D" w:rsidTr="00F5298C">
        <w:tc>
          <w:tcPr>
            <w:tcW w:w="2265" w:type="dxa"/>
          </w:tcPr>
          <w:p w:rsidR="0063689D" w:rsidRPr="00CD1B55" w:rsidRDefault="0063689D" w:rsidP="00F5298C">
            <w:r w:rsidRPr="00CD1B55">
              <w:t>Tertiaire sector</w:t>
            </w:r>
          </w:p>
        </w:tc>
        <w:tc>
          <w:tcPr>
            <w:tcW w:w="2265" w:type="dxa"/>
          </w:tcPr>
          <w:p w:rsidR="0063689D" w:rsidRPr="00CD1B55" w:rsidRDefault="0063689D" w:rsidP="00F5298C">
            <w:pPr>
              <w:jc w:val="center"/>
            </w:pPr>
            <w:r w:rsidRPr="00CD1B55">
              <w:t>+14,2%</w:t>
            </w:r>
          </w:p>
        </w:tc>
        <w:tc>
          <w:tcPr>
            <w:tcW w:w="2266" w:type="dxa"/>
          </w:tcPr>
          <w:p w:rsidR="0063689D" w:rsidRPr="00CD1B55" w:rsidRDefault="0063689D" w:rsidP="00F5298C">
            <w:pPr>
              <w:jc w:val="center"/>
            </w:pPr>
            <w:r w:rsidRPr="00CD1B55">
              <w:t>+9,8%</w:t>
            </w:r>
          </w:p>
        </w:tc>
        <w:tc>
          <w:tcPr>
            <w:tcW w:w="2266" w:type="dxa"/>
          </w:tcPr>
          <w:p w:rsidR="0063689D" w:rsidRPr="00CD1B55" w:rsidRDefault="0063689D" w:rsidP="00F5298C">
            <w:pPr>
              <w:jc w:val="center"/>
            </w:pPr>
            <w:r w:rsidRPr="00CD1B55">
              <w:t>(c)</w:t>
            </w:r>
          </w:p>
        </w:tc>
      </w:tr>
      <w:tr w:rsidR="0063689D" w:rsidTr="00F5298C">
        <w:tc>
          <w:tcPr>
            <w:tcW w:w="2265" w:type="dxa"/>
          </w:tcPr>
          <w:p w:rsidR="0063689D" w:rsidRPr="00CD1B55" w:rsidRDefault="0063689D" w:rsidP="00F5298C">
            <w:r w:rsidRPr="00CD1B55">
              <w:t>Quartaire sector</w:t>
            </w:r>
          </w:p>
        </w:tc>
        <w:tc>
          <w:tcPr>
            <w:tcW w:w="2265" w:type="dxa"/>
          </w:tcPr>
          <w:p w:rsidR="0063689D" w:rsidRPr="00CD1B55" w:rsidRDefault="0063689D" w:rsidP="00F5298C">
            <w:pPr>
              <w:jc w:val="center"/>
            </w:pPr>
            <w:r w:rsidRPr="00CD1B55">
              <w:t>+2%</w:t>
            </w:r>
          </w:p>
        </w:tc>
        <w:tc>
          <w:tcPr>
            <w:tcW w:w="2266" w:type="dxa"/>
          </w:tcPr>
          <w:p w:rsidR="0063689D" w:rsidRPr="00CD1B55" w:rsidRDefault="0063689D" w:rsidP="00F5298C">
            <w:pPr>
              <w:jc w:val="center"/>
            </w:pPr>
            <w:r w:rsidRPr="00CD1B55">
              <w:t>(d)</w:t>
            </w:r>
          </w:p>
        </w:tc>
        <w:tc>
          <w:tcPr>
            <w:tcW w:w="2266" w:type="dxa"/>
          </w:tcPr>
          <w:p w:rsidR="0063689D" w:rsidRPr="00CD1B55" w:rsidRDefault="0063689D" w:rsidP="00F5298C">
            <w:pPr>
              <w:jc w:val="center"/>
            </w:pPr>
            <w:r>
              <w:t>-1%</w:t>
            </w:r>
          </w:p>
        </w:tc>
      </w:tr>
    </w:tbl>
    <w:p w:rsidR="0063689D" w:rsidRDefault="0063689D" w:rsidP="0063689D"/>
    <w:p w:rsidR="0063689D" w:rsidRPr="00CD1B55" w:rsidRDefault="0063689D" w:rsidP="0063689D">
      <w:r w:rsidRPr="00CD1B55">
        <w:t>a.</w:t>
      </w:r>
      <w:r>
        <w:tab/>
      </w:r>
      <w:r w:rsidRPr="00CD1B55">
        <w:t xml:space="preserve">Bereken a </w:t>
      </w:r>
      <w:r>
        <w:t>t/m d.</w:t>
      </w:r>
    </w:p>
    <w:p w:rsidR="0063689D" w:rsidRPr="00CD1B55" w:rsidRDefault="0063689D" w:rsidP="0063689D">
      <w:pPr>
        <w:ind w:left="705" w:hanging="705"/>
      </w:pPr>
      <w:r w:rsidRPr="00CD1B55">
        <w:t>b.</w:t>
      </w:r>
      <w:r>
        <w:tab/>
      </w:r>
      <w:r w:rsidRPr="00CD1B55">
        <w:t>Leg uit waarom de arbeidsproductiviteit in de primaire in secundaire sector harder stijgt dan in de tertiaire en quartaire</w:t>
      </w:r>
      <w:r>
        <w:t xml:space="preserve"> sector.</w:t>
      </w:r>
    </w:p>
    <w:p w:rsidR="0063689D" w:rsidRPr="00CD1B55" w:rsidRDefault="0063689D" w:rsidP="0063689D">
      <w:pPr>
        <w:spacing w:after="160" w:line="259" w:lineRule="auto"/>
      </w:pPr>
      <w:r w:rsidRPr="00CD1B55">
        <w:br w:type="page"/>
      </w:r>
    </w:p>
    <w:p w:rsidR="0063689D" w:rsidRPr="00CD1B55" w:rsidRDefault="0063689D" w:rsidP="0063689D">
      <w:pPr>
        <w:rPr>
          <w:b/>
        </w:rPr>
      </w:pPr>
      <w:r w:rsidRPr="00CD1B55">
        <w:rPr>
          <w:b/>
        </w:rPr>
        <w:t>Uitwerking opdracht 3.1</w:t>
      </w:r>
    </w:p>
    <w:p w:rsidR="0063689D" w:rsidRDefault="0063689D" w:rsidP="0063689D">
      <w:r>
        <w:t xml:space="preserve">Van 2017 tot 2022 groeide de economie van Geelland jaarlijks met 2,5% bij een trendmatige groei van 2%. Ondanks deze hoogconjunctuur nam de winstgevendheid van het </w:t>
      </w:r>
      <w:proofErr w:type="spellStart"/>
      <w:r>
        <w:t>Geellandse</w:t>
      </w:r>
      <w:proofErr w:type="spellEnd"/>
      <w:r>
        <w:t xml:space="preserve"> bedrijfsleven af. Een belangrijke oorzaak daarvan was de loonontwikkeling: de lonen stegen </w:t>
      </w:r>
      <w:r>
        <w:rPr>
          <w:u w:val="single"/>
        </w:rPr>
        <w:t>meer</w:t>
      </w:r>
      <w:r>
        <w:t xml:space="preserve"> dan de </w:t>
      </w:r>
      <w:r>
        <w:rPr>
          <w:u w:val="single"/>
        </w:rPr>
        <w:t>arbeidsproductiviteit</w:t>
      </w:r>
      <w:r>
        <w:t xml:space="preserve">, waardoor de loonkosten per </w:t>
      </w:r>
      <w:r>
        <w:rPr>
          <w:u w:val="single"/>
        </w:rPr>
        <w:t>product</w:t>
      </w:r>
      <w:r>
        <w:t xml:space="preserve"> toenamen.</w:t>
      </w:r>
    </w:p>
    <w:p w:rsidR="0063689D" w:rsidRDefault="0063689D" w:rsidP="0063689D">
      <w:r>
        <w:t xml:space="preserve">Verder kreeg het bedrijfsleven te maken met hogere kosten vanwege de </w:t>
      </w:r>
      <w:r>
        <w:rPr>
          <w:u w:val="single"/>
        </w:rPr>
        <w:t>stijgende</w:t>
      </w:r>
      <w:r>
        <w:t xml:space="preserve"> prijzen van   grondstoffen. Bedrijven konden deze kostenstijgingen </w:t>
      </w:r>
      <w:r>
        <w:rPr>
          <w:u w:val="single"/>
        </w:rPr>
        <w:t>beperkt</w:t>
      </w:r>
      <w:r>
        <w:t xml:space="preserve"> afwentelen op hun </w:t>
      </w:r>
      <w:r>
        <w:rPr>
          <w:u w:val="single"/>
        </w:rPr>
        <w:t>klanten</w:t>
      </w:r>
      <w:r>
        <w:t xml:space="preserve">, zodat ook hierdoor de winstgevendheid onder druk kwam te staan. Economen verwachtten dat deze ontwikkeling de groei van de werkgelegenheid na 2022 zou </w:t>
      </w:r>
      <w:r>
        <w:rPr>
          <w:u w:val="single"/>
        </w:rPr>
        <w:t>afremmen</w:t>
      </w:r>
      <w:r>
        <w:t xml:space="preserve">, doordat bedrijven zouden overgaan op </w:t>
      </w:r>
      <w:r>
        <w:rPr>
          <w:u w:val="single"/>
        </w:rPr>
        <w:t>diepte</w:t>
      </w:r>
      <w:r>
        <w:t>-investeringen.</w:t>
      </w:r>
    </w:p>
    <w:p w:rsidR="0063689D" w:rsidRPr="00CD1B55" w:rsidRDefault="0063689D" w:rsidP="0063689D"/>
    <w:p w:rsidR="0063689D" w:rsidRPr="00CD1B55" w:rsidRDefault="0063689D" w:rsidP="0063689D">
      <w:pPr>
        <w:rPr>
          <w:b/>
        </w:rPr>
      </w:pPr>
      <w:r w:rsidRPr="00CD1B55">
        <w:rPr>
          <w:b/>
        </w:rPr>
        <w:t>Uitwerking opdracht 3.2</w:t>
      </w:r>
    </w:p>
    <w:p w:rsidR="0063689D" w:rsidRDefault="0063689D" w:rsidP="0063689D">
      <w:r>
        <w:t>a.</w:t>
      </w:r>
      <w:r>
        <w:tab/>
        <w:t xml:space="preserve">€ 120.000.000/(400 + 0,5 </w:t>
      </w:r>
      <w:r>
        <w:rPr>
          <w:rFonts w:cs="Calibri"/>
        </w:rPr>
        <w:t>×</w:t>
      </w:r>
      <w:r>
        <w:t xml:space="preserve"> 200) = € 240.000.</w:t>
      </w:r>
    </w:p>
    <w:p w:rsidR="0063689D" w:rsidRDefault="0063689D" w:rsidP="0063689D">
      <w:pPr>
        <w:ind w:left="705" w:hanging="705"/>
      </w:pPr>
      <w:r>
        <w:t>b.</w:t>
      </w:r>
      <w:r>
        <w:tab/>
        <w:t xml:space="preserve">De arbeidsproductiviteit wordt € 240.000 </w:t>
      </w:r>
      <w:r>
        <w:rPr>
          <w:rFonts w:cs="Calibri"/>
        </w:rPr>
        <w:t>×</w:t>
      </w:r>
      <w:r>
        <w:t xml:space="preserve"> 1,5 = € 360.000.</w:t>
      </w:r>
    </w:p>
    <w:p w:rsidR="0063689D" w:rsidRDefault="0063689D" w:rsidP="0063689D">
      <w:pPr>
        <w:ind w:left="705"/>
      </w:pPr>
      <w:r>
        <w:t xml:space="preserve">De afzet/productie wordt € 120.000.000 </w:t>
      </w:r>
      <w:r>
        <w:rPr>
          <w:rFonts w:cs="Calibri"/>
        </w:rPr>
        <w:t>×</w:t>
      </w:r>
      <w:r>
        <w:t xml:space="preserve"> 1,2 = € 144.000.000.</w:t>
      </w:r>
    </w:p>
    <w:p w:rsidR="0063689D" w:rsidRDefault="0063689D" w:rsidP="0063689D">
      <w:pPr>
        <w:ind w:left="705"/>
      </w:pPr>
      <w:r>
        <w:t>De werkgelegenheid (in arbeidsjaren) = € 144.000.000/€ 360.000 = 400.</w:t>
      </w:r>
    </w:p>
    <w:p w:rsidR="0063689D" w:rsidRDefault="0063689D" w:rsidP="0063689D">
      <w:pPr>
        <w:ind w:left="705"/>
      </w:pPr>
      <w:r>
        <w:t>Alle parttimers, zijnde 200 personen, worden ontslagen.</w:t>
      </w:r>
    </w:p>
    <w:p w:rsidR="0063689D" w:rsidRDefault="0063689D" w:rsidP="0063689D">
      <w:r>
        <w:t>c.</w:t>
      </w:r>
      <w:r>
        <w:tab/>
        <w:t xml:space="preserve">120/150 </w:t>
      </w:r>
      <w:r>
        <w:rPr>
          <w:rFonts w:cs="Calibri"/>
        </w:rPr>
        <w:t>×</w:t>
      </w:r>
      <w:r>
        <w:t xml:space="preserve"> 100 = 80. De loonkosten per product zijn met 20% gedaald.</w:t>
      </w:r>
    </w:p>
    <w:p w:rsidR="0063689D" w:rsidRDefault="0063689D" w:rsidP="0063689D"/>
    <w:p w:rsidR="0063689D" w:rsidRPr="00496C03" w:rsidRDefault="0063689D" w:rsidP="0063689D">
      <w:pPr>
        <w:rPr>
          <w:b/>
        </w:rPr>
      </w:pPr>
      <w:r w:rsidRPr="00496C03">
        <w:rPr>
          <w:b/>
        </w:rPr>
        <w:t>Uitwerking opdracht 3.3</w:t>
      </w:r>
    </w:p>
    <w:p w:rsidR="0063689D" w:rsidRPr="00496C03" w:rsidRDefault="0063689D" w:rsidP="0063689D">
      <w:pPr>
        <w:ind w:left="705" w:hanging="705"/>
      </w:pPr>
      <w:r w:rsidRPr="00496C03">
        <w:t>a.</w:t>
      </w:r>
      <w:r w:rsidRPr="00496C03">
        <w:tab/>
        <w:t xml:space="preserve">108/115 × 100 = 93,9  </w:t>
      </w:r>
      <w:r w:rsidRPr="00496C03">
        <w:sym w:font="Symbol" w:char="F0AE"/>
      </w:r>
      <w:r w:rsidRPr="00496C03">
        <w:t xml:space="preserve"> -6,1%.</w:t>
      </w:r>
    </w:p>
    <w:p w:rsidR="0063689D" w:rsidRPr="00496C03" w:rsidRDefault="0063689D" w:rsidP="0063689D">
      <w:pPr>
        <w:ind w:left="705" w:hanging="705"/>
      </w:pPr>
      <w:r w:rsidRPr="00496C03">
        <w:t>b.</w:t>
      </w:r>
      <w:r w:rsidRPr="00496C03">
        <w:tab/>
        <w:t xml:space="preserve">95,3 × 117,5 / 100 = 112 </w:t>
      </w:r>
      <w:r w:rsidRPr="00496C03">
        <w:sym w:font="Symbol" w:char="F0AE"/>
      </w:r>
      <w:r w:rsidRPr="00496C03">
        <w:t xml:space="preserve"> + 12%.</w:t>
      </w:r>
    </w:p>
    <w:p w:rsidR="0063689D" w:rsidRPr="00496C03" w:rsidRDefault="0063689D" w:rsidP="0063689D">
      <w:pPr>
        <w:ind w:left="705" w:hanging="705"/>
      </w:pPr>
      <w:r w:rsidRPr="00496C03">
        <w:t>c.</w:t>
      </w:r>
      <w:r w:rsidRPr="00496C03">
        <w:tab/>
        <w:t xml:space="preserve">114,2 / 109,8 x 100 = 104 </w:t>
      </w:r>
      <w:r w:rsidRPr="00496C03">
        <w:sym w:font="Symbol" w:char="F0AE"/>
      </w:r>
      <w:r w:rsidRPr="00496C03">
        <w:t xml:space="preserve"> + 4%.</w:t>
      </w:r>
    </w:p>
    <w:p w:rsidR="0063689D" w:rsidRPr="00496C03" w:rsidRDefault="0063689D" w:rsidP="0063689D">
      <w:pPr>
        <w:ind w:left="705" w:hanging="705"/>
      </w:pPr>
      <w:r w:rsidRPr="00496C03">
        <w:t>d.</w:t>
      </w:r>
      <w:r w:rsidRPr="00496C03">
        <w:tab/>
        <w:t xml:space="preserve">102 / 99 x 100 = 103 </w:t>
      </w:r>
      <w:r w:rsidRPr="00496C03">
        <w:sym w:font="Symbol" w:char="F0AE"/>
      </w:r>
      <w:r w:rsidRPr="00496C03">
        <w:t xml:space="preserve"> + 3%.</w:t>
      </w:r>
    </w:p>
    <w:p w:rsidR="0063689D" w:rsidRDefault="0063689D" w:rsidP="0063689D">
      <w:pPr>
        <w:ind w:left="705" w:hanging="705"/>
      </w:pPr>
    </w:p>
    <w:p w:rsidR="0063689D" w:rsidRPr="00A3610C" w:rsidRDefault="0063689D" w:rsidP="0063689D">
      <w:pPr>
        <w:ind w:left="705" w:hanging="705"/>
      </w:pPr>
      <w:r>
        <w:t>b.</w:t>
      </w:r>
      <w:r>
        <w:tab/>
        <w:t>De primaire en secundaire sector zijn kapitaalintensief en door diepte-investeringen kan één werknemer steeds meer produceren ( met behulp van technologie). De tertiaire en quartaire sector zijn arbeidsintensief.</w:t>
      </w:r>
      <w:bookmarkStart w:id="0" w:name="_GoBack"/>
      <w:bookmarkEnd w:id="0"/>
    </w:p>
    <w:sectPr w:rsidR="0063689D" w:rsidRPr="00A3610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E3" w:rsidRDefault="00005FE3" w:rsidP="00005FE3">
      <w:r>
        <w:separator/>
      </w:r>
    </w:p>
  </w:endnote>
  <w:endnote w:type="continuationSeparator" w:id="0">
    <w:p w:rsidR="00005FE3" w:rsidRDefault="00005FE3" w:rsidP="0000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E3" w:rsidRDefault="00005FE3" w:rsidP="00005FE3">
      <w:r>
        <w:separator/>
      </w:r>
    </w:p>
  </w:footnote>
  <w:footnote w:type="continuationSeparator" w:id="0">
    <w:p w:rsidR="00005FE3" w:rsidRDefault="00005FE3" w:rsidP="0000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E3" w:rsidRPr="00A124E4" w:rsidRDefault="00005FE3" w:rsidP="00005FE3">
    <w:pPr>
      <w:pStyle w:val="Koptekst"/>
      <w:jc w:val="right"/>
      <w:rPr>
        <w:rFonts w:ascii="Arial" w:hAnsi="Arial" w:cs="Arial"/>
        <w:sz w:val="16"/>
        <w:szCs w:val="16"/>
      </w:rPr>
    </w:pPr>
    <w:r w:rsidRPr="00720030">
      <w:rPr>
        <w:noProof/>
        <w:sz w:val="20"/>
        <w:szCs w:val="20"/>
        <w:lang w:eastAsia="nl-NL"/>
      </w:rPr>
      <w:drawing>
        <wp:inline distT="0" distB="0" distL="0" distR="0" wp14:anchorId="11F86AB2" wp14:editId="0221D7CE">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sidR="00A3610C">
      <w:rPr>
        <w:rFonts w:ascii="Arial" w:hAnsi="Arial" w:cs="Arial"/>
        <w:sz w:val="16"/>
        <w:szCs w:val="16"/>
      </w:rPr>
      <w:t>Arbeid</w:t>
    </w:r>
    <w:r w:rsidRPr="00BE1329">
      <w:rPr>
        <w:rFonts w:ascii="Arial" w:hAnsi="Arial" w:cs="Arial"/>
        <w:sz w:val="16"/>
        <w:szCs w:val="16"/>
      </w:rPr>
      <w:t xml:space="preserve"> h</w:t>
    </w:r>
    <w:r w:rsidR="0063689D">
      <w:rPr>
        <w:rFonts w:ascii="Arial" w:hAnsi="Arial" w:cs="Arial"/>
        <w:sz w:val="16"/>
        <w:szCs w:val="16"/>
      </w:rPr>
      <w:t>oofdstuk 3</w:t>
    </w:r>
    <w:r w:rsidRPr="00BE1329">
      <w:rPr>
        <w:rFonts w:ascii="Arial" w:hAnsi="Arial" w:cs="Arial"/>
        <w:sz w:val="16"/>
        <w:szCs w:val="16"/>
      </w:rPr>
      <w:t xml:space="preserve"> extra oefenopgaven </w:t>
    </w:r>
    <w:r>
      <w:rPr>
        <w:rFonts w:ascii="Arial" w:hAnsi="Arial" w:cs="Arial"/>
        <w:sz w:val="16"/>
        <w:szCs w:val="16"/>
      </w:rPr>
      <w:t>(web</w:t>
    </w:r>
    <w:r w:rsidRPr="00BE1329">
      <w:rPr>
        <w:rFonts w:ascii="Arial" w:hAnsi="Arial" w:cs="Arial"/>
        <w:sz w:val="16"/>
        <w:szCs w:val="16"/>
      </w:rPr>
      <w:t>site)</w:t>
    </w:r>
    <w:r>
      <w:rPr>
        <w:rFonts w:ascii="Arial" w:hAnsi="Arial" w:cs="Arial"/>
        <w:sz w:val="16"/>
        <w:szCs w:val="16"/>
      </w:rPr>
      <w:tab/>
    </w:r>
    <w:r w:rsidR="00A3610C">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sidR="0063689D">
      <w:rPr>
        <w:rFonts w:ascii="Arial" w:hAnsi="Arial" w:cs="Arial"/>
        <w:noProof/>
        <w:sz w:val="16"/>
        <w:szCs w:val="16"/>
      </w:rPr>
      <w:t>1</w:t>
    </w:r>
    <w:r w:rsidRPr="00D6173D">
      <w:rP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67"/>
    <w:rsid w:val="00005FE3"/>
    <w:rsid w:val="00483C6B"/>
    <w:rsid w:val="0063689D"/>
    <w:rsid w:val="007926A9"/>
    <w:rsid w:val="008A1A39"/>
    <w:rsid w:val="00A00767"/>
    <w:rsid w:val="00A3610C"/>
    <w:rsid w:val="00AA56F0"/>
    <w:rsid w:val="00B47914"/>
    <w:rsid w:val="00B77CD4"/>
    <w:rsid w:val="00BC747E"/>
    <w:rsid w:val="00D5677D"/>
    <w:rsid w:val="00E21BAB"/>
    <w:rsid w:val="00E40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0638"/>
    <w:pPr>
      <w:spacing w:after="0" w:line="240" w:lineRule="auto"/>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5FE3"/>
    <w:pPr>
      <w:tabs>
        <w:tab w:val="center" w:pos="4536"/>
        <w:tab w:val="right" w:pos="9072"/>
      </w:tabs>
    </w:pPr>
  </w:style>
  <w:style w:type="character" w:customStyle="1" w:styleId="KoptekstChar">
    <w:name w:val="Koptekst Char"/>
    <w:basedOn w:val="Standaardalinea-lettertype"/>
    <w:link w:val="Koptekst"/>
    <w:uiPriority w:val="99"/>
    <w:rsid w:val="00005FE3"/>
  </w:style>
  <w:style w:type="paragraph" w:styleId="Voettekst">
    <w:name w:val="footer"/>
    <w:basedOn w:val="Standaard"/>
    <w:link w:val="VoettekstChar"/>
    <w:uiPriority w:val="99"/>
    <w:unhideWhenUsed/>
    <w:rsid w:val="00005FE3"/>
    <w:pPr>
      <w:tabs>
        <w:tab w:val="center" w:pos="4536"/>
        <w:tab w:val="right" w:pos="9072"/>
      </w:tabs>
    </w:pPr>
  </w:style>
  <w:style w:type="character" w:customStyle="1" w:styleId="VoettekstChar">
    <w:name w:val="Voettekst Char"/>
    <w:basedOn w:val="Standaardalinea-lettertype"/>
    <w:link w:val="Voettekst"/>
    <w:uiPriority w:val="99"/>
    <w:rsid w:val="00005FE3"/>
  </w:style>
  <w:style w:type="table" w:styleId="Tabelraster">
    <w:name w:val="Table Grid"/>
    <w:basedOn w:val="Standaardtabel"/>
    <w:uiPriority w:val="59"/>
    <w:rsid w:val="006368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3429</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2023-05-01T07:38:00Z</dcterms:created>
  <dcterms:modified xsi:type="dcterms:W3CDTF">2023-05-15T12:53:00Z</dcterms:modified>
</cp:coreProperties>
</file>