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72" w:rsidRPr="00B6027F" w:rsidRDefault="001C4F5C">
      <w:pPr>
        <w:rPr>
          <w:b/>
          <w:sz w:val="28"/>
          <w:szCs w:val="28"/>
        </w:rPr>
      </w:pPr>
      <w:bookmarkStart w:id="0" w:name="_GoBack"/>
      <w:bookmarkEnd w:id="0"/>
      <w:r>
        <w:rPr>
          <w:b/>
          <w:sz w:val="28"/>
          <w:szCs w:val="28"/>
        </w:rPr>
        <w:t>Pensioen</w:t>
      </w:r>
    </w:p>
    <w:p w:rsidR="00B6027F" w:rsidRDefault="00B6027F"/>
    <w:p w:rsidR="001C4F5C" w:rsidRPr="00965E88" w:rsidRDefault="001C4F5C" w:rsidP="001C4F5C">
      <w:pPr>
        <w:pStyle w:val="bodytext"/>
        <w:spacing w:before="0" w:after="0" w:line="240" w:lineRule="auto"/>
        <w:ind w:left="0"/>
        <w:rPr>
          <w:rFonts w:ascii="Calibri" w:hAnsi="Calibri" w:cs="Calibri"/>
          <w:b/>
          <w:sz w:val="22"/>
          <w:szCs w:val="22"/>
        </w:rPr>
      </w:pPr>
      <w:r w:rsidRPr="00965E88">
        <w:rPr>
          <w:rFonts w:ascii="Calibri" w:hAnsi="Calibri" w:cs="Calibri"/>
          <w:b/>
          <w:sz w:val="22"/>
          <w:szCs w:val="22"/>
        </w:rPr>
        <w:t xml:space="preserve">Opdracht </w:t>
      </w:r>
      <w:r>
        <w:rPr>
          <w:rFonts w:ascii="Calibri" w:hAnsi="Calibri" w:cs="Calibri"/>
          <w:b/>
          <w:sz w:val="22"/>
          <w:szCs w:val="22"/>
        </w:rPr>
        <w:t>5</w:t>
      </w:r>
      <w:r w:rsidRPr="00965E88">
        <w:rPr>
          <w:rFonts w:ascii="Calibri" w:hAnsi="Calibri" w:cs="Calibri"/>
          <w:b/>
          <w:sz w:val="22"/>
          <w:szCs w:val="22"/>
        </w:rPr>
        <w:t>.</w:t>
      </w:r>
      <w:r>
        <w:rPr>
          <w:rFonts w:ascii="Calibri" w:hAnsi="Calibri" w:cs="Calibri"/>
          <w:b/>
          <w:sz w:val="22"/>
          <w:szCs w:val="22"/>
        </w:rPr>
        <w:t>1</w:t>
      </w:r>
      <w:r w:rsidRPr="00965E88">
        <w:rPr>
          <w:rFonts w:ascii="Calibri" w:hAnsi="Calibri" w:cs="Calibri"/>
          <w:b/>
          <w:sz w:val="22"/>
          <w:szCs w:val="22"/>
        </w:rPr>
        <w:t xml:space="preserve"> Vergrijzing in 2040</w:t>
      </w:r>
    </w:p>
    <w:p w:rsidR="001C4F5C" w:rsidRDefault="001C4F5C" w:rsidP="001C4F5C">
      <w:pPr>
        <w:pStyle w:val="bodytext"/>
        <w:spacing w:before="0" w:after="0" w:line="240" w:lineRule="auto"/>
        <w:ind w:left="0"/>
        <w:rPr>
          <w:rFonts w:ascii="Calibri" w:hAnsi="Calibri" w:cs="Calibri"/>
          <w:sz w:val="22"/>
          <w:szCs w:val="22"/>
        </w:rPr>
      </w:pPr>
      <w:r w:rsidRPr="00E151A5">
        <w:rPr>
          <w:rFonts w:ascii="Calibri" w:hAnsi="Calibri" w:cs="Calibri"/>
          <w:i/>
          <w:iCs/>
          <w:sz w:val="22"/>
          <w:szCs w:val="22"/>
        </w:rPr>
        <w:t>Uit een krant</w:t>
      </w:r>
      <w:r w:rsidRPr="00E151A5">
        <w:rPr>
          <w:rFonts w:ascii="Calibri" w:hAnsi="Calibri" w:cs="Calibri"/>
          <w:i/>
          <w:iCs/>
          <w:sz w:val="22"/>
          <w:szCs w:val="22"/>
        </w:rPr>
        <w:br/>
      </w:r>
      <w:r>
        <w:rPr>
          <w:rFonts w:ascii="Calibri" w:hAnsi="Calibri" w:cs="Calibri"/>
          <w:sz w:val="22"/>
          <w:szCs w:val="22"/>
        </w:rPr>
        <w:t>Deze maand publiceerde het CBS een onderzoek waaruit blijkt dat</w:t>
      </w:r>
      <w:r w:rsidRPr="00965E88">
        <w:rPr>
          <w:rFonts w:ascii="Calibri" w:hAnsi="Calibri" w:cs="Calibri"/>
          <w:sz w:val="22"/>
          <w:szCs w:val="22"/>
        </w:rPr>
        <w:t xml:space="preserve"> de vergrijzing </w:t>
      </w:r>
      <w:r>
        <w:rPr>
          <w:rFonts w:ascii="Calibri" w:hAnsi="Calibri" w:cs="Calibri"/>
          <w:sz w:val="22"/>
          <w:szCs w:val="22"/>
        </w:rPr>
        <w:t>in Nederland veel sterker zal toenemen</w:t>
      </w:r>
      <w:r w:rsidRPr="00965E88">
        <w:rPr>
          <w:rFonts w:ascii="Calibri" w:hAnsi="Calibri" w:cs="Calibri"/>
          <w:sz w:val="22"/>
          <w:szCs w:val="22"/>
        </w:rPr>
        <w:t xml:space="preserve"> dan eerder door het CBS </w:t>
      </w:r>
      <w:r>
        <w:rPr>
          <w:rFonts w:ascii="Calibri" w:hAnsi="Calibri" w:cs="Calibri"/>
          <w:sz w:val="22"/>
          <w:szCs w:val="22"/>
        </w:rPr>
        <w:t>werd</w:t>
      </w:r>
      <w:r w:rsidRPr="00965E88">
        <w:rPr>
          <w:rFonts w:ascii="Calibri" w:hAnsi="Calibri" w:cs="Calibri"/>
          <w:sz w:val="22"/>
          <w:szCs w:val="22"/>
        </w:rPr>
        <w:t xml:space="preserve"> aangenomen. </w:t>
      </w:r>
      <w:r w:rsidRPr="00965E88">
        <w:rPr>
          <w:rFonts w:ascii="Calibri" w:hAnsi="Calibri" w:cs="Calibri"/>
          <w:sz w:val="22"/>
          <w:szCs w:val="22"/>
        </w:rPr>
        <w:br/>
        <w:t xml:space="preserve">Volgens de </w:t>
      </w:r>
      <w:r>
        <w:rPr>
          <w:rFonts w:ascii="Calibri" w:hAnsi="Calibri" w:cs="Calibri"/>
          <w:sz w:val="22"/>
          <w:szCs w:val="22"/>
        </w:rPr>
        <w:t>nieuwe</w:t>
      </w:r>
      <w:r w:rsidRPr="00965E88">
        <w:rPr>
          <w:rFonts w:ascii="Calibri" w:hAnsi="Calibri" w:cs="Calibri"/>
          <w:sz w:val="22"/>
          <w:szCs w:val="22"/>
        </w:rPr>
        <w:t xml:space="preserve"> prognose</w:t>
      </w:r>
      <w:r>
        <w:rPr>
          <w:rFonts w:ascii="Calibri" w:hAnsi="Calibri" w:cs="Calibri"/>
          <w:sz w:val="22"/>
          <w:szCs w:val="22"/>
        </w:rPr>
        <w:t>s van het CBS zal het aantal gepensioneerden</w:t>
      </w:r>
      <w:r w:rsidRPr="00965E88">
        <w:rPr>
          <w:rFonts w:ascii="Calibri" w:hAnsi="Calibri" w:cs="Calibri"/>
          <w:sz w:val="22"/>
          <w:szCs w:val="22"/>
        </w:rPr>
        <w:t xml:space="preserve"> toenemen van 2,5 miljoen in 2009 tot 4,5 miljoen in 2040. Daarna zal het aantal ouderen dalen tot 4,2 miljoen in 2050. In </w:t>
      </w:r>
      <w:r>
        <w:rPr>
          <w:rFonts w:ascii="Calibri" w:hAnsi="Calibri" w:cs="Calibri"/>
          <w:sz w:val="22"/>
          <w:szCs w:val="22"/>
        </w:rPr>
        <w:t>2050 is 25% van de bevolking gepensioneerd</w:t>
      </w:r>
      <w:r w:rsidRPr="00965E88">
        <w:rPr>
          <w:rFonts w:ascii="Calibri" w:hAnsi="Calibri" w:cs="Calibri"/>
          <w:sz w:val="22"/>
          <w:szCs w:val="22"/>
        </w:rPr>
        <w:t xml:space="preserve">. In 2009 was 15% van </w:t>
      </w:r>
      <w:r>
        <w:rPr>
          <w:rFonts w:ascii="Calibri" w:hAnsi="Calibri" w:cs="Calibri"/>
          <w:sz w:val="22"/>
          <w:szCs w:val="22"/>
        </w:rPr>
        <w:t>de bevolking gepensioneerd</w:t>
      </w:r>
      <w:r w:rsidRPr="00965E88">
        <w:rPr>
          <w:rFonts w:ascii="Calibri" w:hAnsi="Calibri" w:cs="Calibri"/>
          <w:sz w:val="22"/>
          <w:szCs w:val="22"/>
        </w:rPr>
        <w:t>.</w:t>
      </w:r>
    </w:p>
    <w:p w:rsidR="001C4F5C" w:rsidRDefault="001C4F5C" w:rsidP="001C4F5C">
      <w:pPr>
        <w:pStyle w:val="bodytext"/>
        <w:spacing w:before="0" w:after="0" w:line="240" w:lineRule="auto"/>
        <w:ind w:left="426"/>
        <w:rPr>
          <w:rFonts w:ascii="Calibri" w:hAnsi="Calibri" w:cs="Calibri"/>
          <w:sz w:val="22"/>
          <w:szCs w:val="22"/>
        </w:rPr>
      </w:pPr>
    </w:p>
    <w:p w:rsidR="001C4F5C" w:rsidRPr="00965E88" w:rsidRDefault="001C4F5C" w:rsidP="001C4F5C">
      <w:pPr>
        <w:pStyle w:val="bodytext"/>
        <w:numPr>
          <w:ilvl w:val="0"/>
          <w:numId w:val="1"/>
        </w:numPr>
        <w:spacing w:before="0" w:after="0" w:line="240" w:lineRule="auto"/>
        <w:ind w:left="426" w:hanging="426"/>
        <w:rPr>
          <w:rFonts w:ascii="Calibri" w:hAnsi="Calibri" w:cs="Calibri"/>
          <w:sz w:val="22"/>
          <w:szCs w:val="22"/>
        </w:rPr>
      </w:pPr>
      <w:r w:rsidRPr="00965E88">
        <w:rPr>
          <w:rFonts w:ascii="Calibri" w:hAnsi="Calibri" w:cs="Calibri"/>
          <w:sz w:val="22"/>
          <w:szCs w:val="22"/>
        </w:rPr>
        <w:t xml:space="preserve">Leg uit waarom </w:t>
      </w:r>
      <w:r>
        <w:rPr>
          <w:rFonts w:ascii="Calibri" w:hAnsi="Calibri" w:cs="Calibri"/>
          <w:sz w:val="22"/>
          <w:szCs w:val="22"/>
        </w:rPr>
        <w:t>toenemen</w:t>
      </w:r>
      <w:r w:rsidRPr="00965E88">
        <w:rPr>
          <w:rFonts w:ascii="Calibri" w:hAnsi="Calibri" w:cs="Calibri"/>
          <w:sz w:val="22"/>
          <w:szCs w:val="22"/>
        </w:rPr>
        <w:t xml:space="preserve">de </w:t>
      </w:r>
      <w:r>
        <w:rPr>
          <w:rFonts w:ascii="Calibri" w:hAnsi="Calibri" w:cs="Calibri"/>
          <w:sz w:val="22"/>
          <w:szCs w:val="22"/>
        </w:rPr>
        <w:t>vergrijzing, zonder wijzigingen in het stelsel,</w:t>
      </w:r>
      <w:r w:rsidRPr="00965E88">
        <w:rPr>
          <w:rFonts w:ascii="Calibri" w:hAnsi="Calibri" w:cs="Calibri"/>
          <w:sz w:val="22"/>
          <w:szCs w:val="22"/>
        </w:rPr>
        <w:t xml:space="preserve"> voor extra </w:t>
      </w:r>
      <w:r>
        <w:rPr>
          <w:rFonts w:ascii="Calibri" w:hAnsi="Calibri" w:cs="Calibri"/>
          <w:sz w:val="22"/>
          <w:szCs w:val="22"/>
        </w:rPr>
        <w:t>financierings</w:t>
      </w:r>
      <w:r w:rsidRPr="00965E88">
        <w:rPr>
          <w:rFonts w:ascii="Calibri" w:hAnsi="Calibri" w:cs="Calibri"/>
          <w:sz w:val="22"/>
          <w:szCs w:val="22"/>
        </w:rPr>
        <w:t xml:space="preserve">problemen zorgt </w:t>
      </w:r>
      <w:r>
        <w:rPr>
          <w:rFonts w:ascii="Calibri" w:hAnsi="Calibri" w:cs="Calibri"/>
          <w:sz w:val="22"/>
          <w:szCs w:val="22"/>
        </w:rPr>
        <w:t>bij</w:t>
      </w:r>
      <w:r w:rsidRPr="00965E88">
        <w:rPr>
          <w:rFonts w:ascii="Calibri" w:hAnsi="Calibri" w:cs="Calibri"/>
          <w:sz w:val="22"/>
          <w:szCs w:val="22"/>
        </w:rPr>
        <w:t xml:space="preserve"> de AOW-uitkeringen.</w:t>
      </w:r>
    </w:p>
    <w:p w:rsidR="001C4F5C" w:rsidRDefault="001C4F5C" w:rsidP="001C4F5C">
      <w:pPr>
        <w:pStyle w:val="bodytext"/>
        <w:spacing w:before="0" w:after="0" w:line="240" w:lineRule="auto"/>
        <w:rPr>
          <w:rFonts w:ascii="Calibri" w:hAnsi="Calibri" w:cs="Calibri"/>
          <w:sz w:val="22"/>
          <w:szCs w:val="22"/>
        </w:rPr>
      </w:pPr>
    </w:p>
    <w:p w:rsidR="001C4F5C" w:rsidRPr="00965E88" w:rsidRDefault="001C4F5C" w:rsidP="001C4F5C">
      <w:pPr>
        <w:pStyle w:val="bodytext"/>
        <w:spacing w:before="0" w:after="0" w:line="240" w:lineRule="auto"/>
        <w:rPr>
          <w:rFonts w:ascii="Calibri" w:hAnsi="Calibri" w:cs="Calibri"/>
          <w:sz w:val="22"/>
          <w:szCs w:val="22"/>
        </w:rPr>
      </w:pPr>
      <w:r w:rsidRPr="00965E88">
        <w:rPr>
          <w:rFonts w:ascii="Calibri" w:hAnsi="Calibri" w:cs="Calibri"/>
          <w:sz w:val="22"/>
          <w:szCs w:val="22"/>
        </w:rPr>
        <w:t xml:space="preserve">Om de toenemende grijze druk op te kunnen vangen moet de overheid maatregelen nemen. Hierbij wordt gedacht aan </w:t>
      </w:r>
      <w:r>
        <w:rPr>
          <w:rFonts w:ascii="Calibri" w:hAnsi="Calibri" w:cs="Calibri"/>
          <w:sz w:val="22"/>
          <w:szCs w:val="22"/>
        </w:rPr>
        <w:t xml:space="preserve">het stimuleren van </w:t>
      </w:r>
      <w:r w:rsidRPr="00965E88">
        <w:rPr>
          <w:rFonts w:ascii="Calibri" w:hAnsi="Calibri" w:cs="Calibri"/>
          <w:sz w:val="22"/>
          <w:szCs w:val="22"/>
        </w:rPr>
        <w:t xml:space="preserve">een hogere arbeidsparticipatie, verhoging van de AOW-leeftijd en </w:t>
      </w:r>
      <w:r>
        <w:rPr>
          <w:rFonts w:ascii="Calibri" w:hAnsi="Calibri" w:cs="Calibri"/>
          <w:sz w:val="22"/>
          <w:szCs w:val="22"/>
        </w:rPr>
        <w:t xml:space="preserve">het inkomens- en vermogens afhankelijk maken </w:t>
      </w:r>
      <w:r w:rsidRPr="00965E88">
        <w:rPr>
          <w:rFonts w:ascii="Calibri" w:hAnsi="Calibri" w:cs="Calibri"/>
          <w:sz w:val="22"/>
          <w:szCs w:val="22"/>
        </w:rPr>
        <w:t>van de AOW.</w:t>
      </w:r>
    </w:p>
    <w:p w:rsidR="001C4F5C" w:rsidRPr="00965E88" w:rsidRDefault="001C4F5C" w:rsidP="001C4F5C">
      <w:pPr>
        <w:pStyle w:val="bodytext"/>
        <w:numPr>
          <w:ilvl w:val="0"/>
          <w:numId w:val="1"/>
        </w:numPr>
        <w:spacing w:before="0" w:after="0" w:line="240" w:lineRule="auto"/>
        <w:ind w:left="426" w:hanging="426"/>
        <w:rPr>
          <w:rFonts w:ascii="Calibri" w:hAnsi="Calibri" w:cs="Calibri"/>
          <w:sz w:val="22"/>
          <w:szCs w:val="22"/>
        </w:rPr>
      </w:pPr>
      <w:r w:rsidRPr="00965E88">
        <w:rPr>
          <w:rFonts w:ascii="Calibri" w:hAnsi="Calibri" w:cs="Calibri"/>
          <w:sz w:val="22"/>
          <w:szCs w:val="22"/>
        </w:rPr>
        <w:t>Hoe kan een hogere arbeidsparticipatie de AOW-problematiek verminderen?</w:t>
      </w:r>
    </w:p>
    <w:p w:rsidR="001C4F5C" w:rsidRDefault="001C4F5C" w:rsidP="001C4F5C">
      <w:pPr>
        <w:tabs>
          <w:tab w:val="left" w:pos="426"/>
        </w:tabs>
        <w:ind w:left="426" w:hanging="426"/>
        <w:rPr>
          <w:rFonts w:cs="Calibri"/>
        </w:rPr>
      </w:pPr>
      <w:r>
        <w:rPr>
          <w:rFonts w:cs="Calibri"/>
        </w:rPr>
        <w:t>c.</w:t>
      </w:r>
      <w:r>
        <w:rPr>
          <w:rFonts w:cs="Calibri"/>
        </w:rPr>
        <w:tab/>
      </w:r>
      <w:r w:rsidRPr="00965E88">
        <w:rPr>
          <w:rFonts w:cs="Calibri"/>
        </w:rPr>
        <w:t xml:space="preserve">Leg uit hoe </w:t>
      </w:r>
      <w:r>
        <w:rPr>
          <w:rFonts w:cs="Calibri"/>
        </w:rPr>
        <w:t>het inkomens- en vermogensafhankelijk maken</w:t>
      </w:r>
      <w:r w:rsidRPr="00965E88">
        <w:rPr>
          <w:rFonts w:cs="Calibri"/>
        </w:rPr>
        <w:t xml:space="preserve"> van de AOW de AOW-problematiek kan verminderen.</w:t>
      </w:r>
    </w:p>
    <w:p w:rsidR="001C4F5C" w:rsidRDefault="001C4F5C" w:rsidP="001C4F5C">
      <w:pPr>
        <w:rPr>
          <w:rFonts w:eastAsia="Times New Roman" w:cs="Calibri"/>
          <w:b/>
          <w:lang w:eastAsia="nl-NL"/>
        </w:rPr>
      </w:pPr>
    </w:p>
    <w:p w:rsidR="001C4F5C" w:rsidRDefault="001C4F5C" w:rsidP="001C4F5C">
      <w:pPr>
        <w:rPr>
          <w:rFonts w:eastAsia="Times New Roman" w:cs="Calibri"/>
          <w:b/>
          <w:lang w:eastAsia="nl-NL"/>
        </w:rPr>
      </w:pPr>
      <w:r>
        <w:rPr>
          <w:rFonts w:eastAsia="Times New Roman" w:cs="Calibri"/>
          <w:b/>
          <w:lang w:eastAsia="nl-NL"/>
        </w:rPr>
        <w:t>Opdracht 5.2 Pensioenfondsen en dekkingsgraad</w:t>
      </w:r>
    </w:p>
    <w:p w:rsidR="001C4F5C" w:rsidRDefault="001C4F5C" w:rsidP="001C4F5C">
      <w:pPr>
        <w:rPr>
          <w:rFonts w:eastAsia="Times New Roman" w:cs="Calibri"/>
          <w:lang w:eastAsia="nl-NL"/>
        </w:rPr>
      </w:pPr>
      <w:r>
        <w:rPr>
          <w:rFonts w:eastAsia="Times New Roman" w:cs="Calibri"/>
          <w:i/>
          <w:lang w:eastAsia="nl-NL"/>
        </w:rPr>
        <w:t>Van onze verslaggever</w:t>
      </w:r>
    </w:p>
    <w:p w:rsidR="001C4F5C" w:rsidRPr="000C5FF8" w:rsidRDefault="001C4F5C" w:rsidP="001C4F5C">
      <w:pPr>
        <w:rPr>
          <w:rFonts w:eastAsia="Times New Roman" w:cs="Calibri"/>
          <w:i/>
          <w:iCs/>
          <w:lang w:eastAsia="nl-NL"/>
        </w:rPr>
      </w:pPr>
      <w:r w:rsidRPr="000C5FF8">
        <w:rPr>
          <w:rFonts w:eastAsia="Times New Roman" w:cs="Calibri"/>
          <w:i/>
          <w:iCs/>
          <w:lang w:eastAsia="nl-NL"/>
        </w:rPr>
        <w:t xml:space="preserve">Eind december was een belangrijke peildatum voor de pensioenfondsen. De gemiddelde dekkingsgraad van de pensioenfondsen was 104%. De dekkingsgraad van de pensioenfondsen kwam onder druk te staan door de inzakkende aandelenkoersen, de daling van de rente en de sterke daling van de rendementen als gevolg van de wereldwijde economische crisis. </w:t>
      </w:r>
    </w:p>
    <w:p w:rsidR="001C4F5C" w:rsidRDefault="001C4F5C" w:rsidP="001C4F5C">
      <w:pPr>
        <w:tabs>
          <w:tab w:val="left" w:pos="426"/>
        </w:tabs>
        <w:rPr>
          <w:rFonts w:eastAsia="Times New Roman" w:cs="Calibri"/>
          <w:lang w:eastAsia="nl-NL"/>
        </w:rPr>
      </w:pPr>
    </w:p>
    <w:p w:rsidR="001C4F5C" w:rsidRDefault="001C4F5C" w:rsidP="001C4F5C">
      <w:pPr>
        <w:tabs>
          <w:tab w:val="left" w:pos="426"/>
        </w:tabs>
        <w:rPr>
          <w:rFonts w:eastAsia="Times New Roman" w:cs="Calibri"/>
          <w:lang w:eastAsia="nl-NL"/>
        </w:rPr>
      </w:pPr>
      <w:r>
        <w:rPr>
          <w:rFonts w:eastAsia="Times New Roman" w:cs="Calibri"/>
          <w:lang w:eastAsia="nl-NL"/>
        </w:rPr>
        <w:t>a.</w:t>
      </w:r>
      <w:r>
        <w:rPr>
          <w:rFonts w:eastAsia="Times New Roman" w:cs="Calibri"/>
          <w:lang w:eastAsia="nl-NL"/>
        </w:rPr>
        <w:tab/>
        <w:t>Leg uit hoe een daling van de rente de dekkingsgraad van pensioenfondsen onder druk zet.</w:t>
      </w:r>
    </w:p>
    <w:p w:rsidR="001C4F5C" w:rsidRDefault="001C4F5C" w:rsidP="001C4F5C">
      <w:pPr>
        <w:tabs>
          <w:tab w:val="left" w:pos="426"/>
        </w:tabs>
        <w:rPr>
          <w:rFonts w:eastAsia="Times New Roman" w:cs="Calibri"/>
          <w:lang w:eastAsia="nl-NL"/>
        </w:rPr>
      </w:pPr>
    </w:p>
    <w:p w:rsidR="001C4F5C" w:rsidRDefault="001C4F5C" w:rsidP="001C4F5C">
      <w:pPr>
        <w:rPr>
          <w:rFonts w:eastAsia="Times New Roman" w:cs="Calibri"/>
          <w:lang w:eastAsia="nl-NL"/>
        </w:rPr>
      </w:pPr>
      <w:r>
        <w:rPr>
          <w:rFonts w:eastAsia="Times New Roman" w:cs="Calibri"/>
          <w:lang w:eastAsia="nl-NL"/>
        </w:rPr>
        <w:t>Door de crisis daalde de dekkingsgraad van het ABP (het algemeen burgerlijk pensioenfonds) met 60 procentpunten en bereikte deze afgelopen februari met 83% haar dieptepunt.</w:t>
      </w:r>
    </w:p>
    <w:p w:rsidR="001C4F5C" w:rsidRDefault="001C4F5C" w:rsidP="001C4F5C">
      <w:pPr>
        <w:rPr>
          <w:rFonts w:eastAsia="Times New Roman" w:cs="Calibri"/>
          <w:lang w:eastAsia="nl-NL"/>
        </w:rPr>
      </w:pPr>
      <w:r>
        <w:rPr>
          <w:rFonts w:eastAsia="Times New Roman" w:cs="Calibri"/>
          <w:lang w:eastAsia="nl-NL"/>
        </w:rPr>
        <w:t>Omdat de wet een dekkingsgraad van ten minste 105% voorschrijft waren de pensioenfondsen gedwongen om een herstelplan in te dienen bij DNB (De Nederlandsche Bank). De belangrijkste maatregelen die het ABP nam om de dekkingsgraad op termijn te verhogen waren:</w:t>
      </w:r>
    </w:p>
    <w:p w:rsidR="001C4F5C" w:rsidRDefault="001C4F5C" w:rsidP="001C4F5C">
      <w:pPr>
        <w:ind w:left="284" w:hanging="284"/>
        <w:rPr>
          <w:rFonts w:eastAsia="Times New Roman" w:cs="Calibri"/>
          <w:lang w:eastAsia="nl-NL"/>
        </w:rPr>
      </w:pPr>
      <w:r>
        <w:rPr>
          <w:rFonts w:eastAsia="Times New Roman" w:cs="Calibri"/>
          <w:lang w:eastAsia="nl-NL"/>
        </w:rPr>
        <w:t xml:space="preserve">- </w:t>
      </w:r>
      <w:r>
        <w:rPr>
          <w:rFonts w:eastAsia="Times New Roman" w:cs="Calibri"/>
          <w:lang w:eastAsia="nl-NL"/>
        </w:rPr>
        <w:tab/>
        <w:t>het niet indexeren van de pensioenen;</w:t>
      </w:r>
    </w:p>
    <w:p w:rsidR="001C4F5C" w:rsidRDefault="001C4F5C" w:rsidP="001C4F5C">
      <w:pPr>
        <w:ind w:left="284" w:hanging="284"/>
        <w:rPr>
          <w:rFonts w:eastAsia="Times New Roman" w:cs="Calibri"/>
          <w:lang w:eastAsia="nl-NL"/>
        </w:rPr>
      </w:pPr>
      <w:r>
        <w:rPr>
          <w:rFonts w:eastAsia="Times New Roman" w:cs="Calibri"/>
          <w:lang w:eastAsia="nl-NL"/>
        </w:rPr>
        <w:t xml:space="preserve">- </w:t>
      </w:r>
      <w:r>
        <w:rPr>
          <w:rFonts w:eastAsia="Times New Roman" w:cs="Calibri"/>
          <w:lang w:eastAsia="nl-NL"/>
        </w:rPr>
        <w:tab/>
        <w:t>het verhogen van de pensioenpremie met 3 procentpunten (van 20% naar 23%).</w:t>
      </w:r>
    </w:p>
    <w:p w:rsidR="001C4F5C" w:rsidRDefault="001C4F5C" w:rsidP="001C4F5C">
      <w:pPr>
        <w:tabs>
          <w:tab w:val="left" w:pos="426"/>
        </w:tabs>
        <w:rPr>
          <w:rFonts w:eastAsia="Times New Roman" w:cs="Calibri"/>
          <w:lang w:eastAsia="nl-NL"/>
        </w:rPr>
      </w:pPr>
    </w:p>
    <w:p w:rsidR="001C4F5C" w:rsidRDefault="001C4F5C" w:rsidP="001C4F5C">
      <w:pPr>
        <w:tabs>
          <w:tab w:val="left" w:pos="426"/>
        </w:tabs>
        <w:rPr>
          <w:rFonts w:eastAsia="Times New Roman" w:cs="Calibri"/>
          <w:lang w:eastAsia="nl-NL"/>
        </w:rPr>
      </w:pPr>
      <w:r>
        <w:rPr>
          <w:rFonts w:eastAsia="Times New Roman" w:cs="Calibri"/>
          <w:lang w:eastAsia="nl-NL"/>
        </w:rPr>
        <w:t>b.</w:t>
      </w:r>
      <w:r>
        <w:rPr>
          <w:rFonts w:eastAsia="Times New Roman" w:cs="Calibri"/>
          <w:lang w:eastAsia="nl-NL"/>
        </w:rPr>
        <w:tab/>
        <w:t>Leg uit dat het niet indexeren van pensioenen de dekkingsgraad van pensioenfondsen verhoogt.</w:t>
      </w:r>
    </w:p>
    <w:p w:rsidR="001C4F5C" w:rsidRDefault="001C4F5C" w:rsidP="001C4F5C">
      <w:pPr>
        <w:rPr>
          <w:rFonts w:eastAsia="Times New Roman" w:cs="Calibri"/>
          <w:lang w:eastAsia="nl-NL"/>
        </w:rPr>
      </w:pPr>
    </w:p>
    <w:p w:rsidR="001C4F5C" w:rsidRDefault="001C4F5C" w:rsidP="001C4F5C">
      <w:pPr>
        <w:rPr>
          <w:rFonts w:eastAsia="Times New Roman" w:cs="Calibri"/>
          <w:lang w:eastAsia="nl-NL"/>
        </w:rPr>
      </w:pPr>
      <w:r>
        <w:rPr>
          <w:rFonts w:eastAsia="Times New Roman" w:cs="Calibri"/>
          <w:lang w:eastAsia="nl-NL"/>
        </w:rPr>
        <w:t xml:space="preserve">Desondanks waren de vooruitzichten in augustus nog zeer somber. Door de gedaalde rente en de stijging van de levensverwachting was de dekkingsgraad gedaald tot gemiddeld 95%. Was de dekkingsgraad in de maanden die volgden niet gestegen, dan waren de pensioenfondsen verplicht om harde maatregelen te nemen zoals het korten op de pensioenuitkeringen en het (nog verder) verhogen van de pensioenpremies. Door de sterke stijging van de aandelenkoersen en verdere rentestijging in de laatste maanden van het jaar kon dit voorkomen worden. </w:t>
      </w:r>
    </w:p>
    <w:p w:rsidR="001C4F5C" w:rsidRDefault="001C4F5C" w:rsidP="001C4F5C">
      <w:pPr>
        <w:ind w:left="426" w:hanging="426"/>
        <w:rPr>
          <w:rFonts w:eastAsia="Times New Roman" w:cs="Calibri"/>
          <w:lang w:eastAsia="nl-NL"/>
        </w:rPr>
      </w:pPr>
    </w:p>
    <w:p w:rsidR="001C4F5C" w:rsidRDefault="001C4F5C" w:rsidP="001C4F5C">
      <w:pPr>
        <w:ind w:left="426" w:hanging="426"/>
        <w:rPr>
          <w:rFonts w:eastAsia="Times New Roman" w:cs="Calibri"/>
          <w:lang w:eastAsia="nl-NL"/>
        </w:rPr>
      </w:pPr>
      <w:r>
        <w:rPr>
          <w:rFonts w:eastAsia="Times New Roman" w:cs="Calibri"/>
          <w:lang w:eastAsia="nl-NL"/>
        </w:rPr>
        <w:t xml:space="preserve">c. </w:t>
      </w:r>
      <w:r>
        <w:rPr>
          <w:rFonts w:eastAsia="Times New Roman" w:cs="Calibri"/>
          <w:lang w:eastAsia="nl-NL"/>
        </w:rPr>
        <w:tab/>
        <w:t>In bovenstaande tekst worden naast een daling/stijging van de rente en het niet indexeren van pensioenen nog enkele gebeurtenissen genoemd waardoor de dekkingsgraad daalt en gebeurtenissen waardoor de dekkingsgraad stijgt. Welke gebeurtenissen zijn dat en geef aan of de dekkingsgraad daardoor stijgt of daalt.</w:t>
      </w:r>
    </w:p>
    <w:p w:rsidR="001C4F5C" w:rsidRDefault="001C4F5C">
      <w:pPr>
        <w:spacing w:after="200" w:line="276" w:lineRule="auto"/>
        <w:rPr>
          <w:rFonts w:eastAsia="Times New Roman" w:cs="Calibri"/>
          <w:lang w:eastAsia="nl-NL"/>
        </w:rPr>
      </w:pPr>
      <w:r>
        <w:rPr>
          <w:rFonts w:eastAsia="Times New Roman" w:cs="Calibri"/>
          <w:lang w:eastAsia="nl-NL"/>
        </w:rPr>
        <w:br w:type="page"/>
      </w:r>
    </w:p>
    <w:p w:rsidR="001C4F5C" w:rsidRDefault="001C4F5C" w:rsidP="001C4F5C">
      <w:pPr>
        <w:rPr>
          <w:rFonts w:cs="Calibri"/>
        </w:rPr>
      </w:pPr>
      <w:r>
        <w:rPr>
          <w:rFonts w:cs="Calibri"/>
          <w:b/>
        </w:rPr>
        <w:lastRenderedPageBreak/>
        <w:t>Opdracht 5.3 Naar een pensioen op maat</w:t>
      </w:r>
      <w:r>
        <w:rPr>
          <w:rFonts w:cs="Calibri"/>
        </w:rPr>
        <w:t xml:space="preserve"> </w:t>
      </w:r>
    </w:p>
    <w:p w:rsidR="001C4F5C" w:rsidRDefault="001C4F5C" w:rsidP="001C4F5C">
      <w:pPr>
        <w:rPr>
          <w:rFonts w:cs="Calibri"/>
        </w:rPr>
      </w:pPr>
      <w:r>
        <w:rPr>
          <w:rFonts w:cs="Calibri"/>
        </w:rPr>
        <w:t>In een land maakt de vergrijzing het steeds moeilijker om welvaartsvaste pensioenen te garanderen aan de burgers. Op een gegeven moment kent het land een stelsel voor pensioenen, bestaande uit twee pijlers:</w:t>
      </w:r>
    </w:p>
    <w:p w:rsidR="001C4F5C" w:rsidRDefault="001C4F5C" w:rsidP="001C4F5C">
      <w:pPr>
        <w:pStyle w:val="Lijstalinea"/>
        <w:numPr>
          <w:ilvl w:val="0"/>
          <w:numId w:val="3"/>
        </w:numPr>
        <w:spacing w:after="0" w:line="240" w:lineRule="auto"/>
        <w:ind w:left="426" w:hanging="426"/>
        <w:rPr>
          <w:rFonts w:cs="Calibri"/>
        </w:rPr>
      </w:pPr>
      <w:r>
        <w:rPr>
          <w:rFonts w:cs="Calibri"/>
        </w:rPr>
        <w:t>Een ouderdomspensioen voor alle mensen van 60 en ouder: dit pensioen wordt collectief gefinancierd via een omslagstelsel. Alleen actieven betalen premie voor het ouderdomspensioen. De premie is een vast percentage van het bruto-inkomen.</w:t>
      </w:r>
    </w:p>
    <w:p w:rsidR="001C4F5C" w:rsidRDefault="001C4F5C" w:rsidP="001C4F5C">
      <w:pPr>
        <w:pStyle w:val="Lijstalinea"/>
        <w:numPr>
          <w:ilvl w:val="0"/>
          <w:numId w:val="3"/>
        </w:numPr>
        <w:spacing w:after="0" w:line="240" w:lineRule="auto"/>
        <w:ind w:left="426" w:hanging="426"/>
        <w:rPr>
          <w:rFonts w:cs="Calibri"/>
        </w:rPr>
      </w:pPr>
      <w:r>
        <w:rPr>
          <w:rFonts w:cs="Calibri"/>
        </w:rPr>
        <w:t xml:space="preserve">Aanvullende pensioenen: deze worden gefinancierd via een kapitaaldekkingsstelsel. Ze zijn welvaartsvast en </w:t>
      </w:r>
      <w:r w:rsidRPr="00D95DCD">
        <w:rPr>
          <w:rFonts w:cs="Calibri"/>
        </w:rPr>
        <w:t>gebaseerd op het laatst verdiende loon.</w:t>
      </w:r>
      <w:r>
        <w:rPr>
          <w:rFonts w:cs="Calibri"/>
        </w:rPr>
        <w:t xml:space="preserve"> Over een deel van het brutoloon, te weten 110% van het wettelijk minimumloon wordt geen aanvullend pensioen opgebouwd. Dat noemen we de franchise. Het ‘verlies’ van dit deel van het inkomen wordt na pensionering opgevangen door het collectieve ouderdomspensioen (zie pijler 1).</w:t>
      </w:r>
    </w:p>
    <w:p w:rsidR="001C4F5C" w:rsidRDefault="001C4F5C" w:rsidP="001C4F5C">
      <w:pPr>
        <w:rPr>
          <w:rFonts w:cs="Calibri"/>
        </w:rPr>
      </w:pPr>
    </w:p>
    <w:p w:rsidR="001C4F5C" w:rsidRDefault="001C4F5C" w:rsidP="001C4F5C">
      <w:pPr>
        <w:rPr>
          <w:rFonts w:cs="Calibri"/>
        </w:rPr>
      </w:pPr>
      <w:r>
        <w:rPr>
          <w:rFonts w:cs="Calibri"/>
        </w:rPr>
        <w:t>Pensioeneconoom Mans denkt de betaalbaarheid van het pensioenstelsel in de toekomst te kunnen verbeteren met een alternatief stelsel: het stelsel Mans. Hij denkt de betaalbaarheid van de pensioenen vooral te verbeteren door veranderingen aan te brengen in de premiegrondslag en in de uitkeringsbehoefte. In het stelsel wil Mans ten opzichte van het huidige stelsel de volgende wijzigingen aanbrengen:</w:t>
      </w:r>
    </w:p>
    <w:p w:rsidR="001C4F5C" w:rsidRDefault="001C4F5C" w:rsidP="001C4F5C">
      <w:pPr>
        <w:pStyle w:val="Lijstalinea"/>
        <w:numPr>
          <w:ilvl w:val="0"/>
          <w:numId w:val="4"/>
        </w:numPr>
        <w:spacing w:after="0" w:line="240" w:lineRule="auto"/>
        <w:ind w:left="426" w:hanging="426"/>
        <w:rPr>
          <w:rFonts w:cs="Calibri"/>
        </w:rPr>
      </w:pPr>
      <w:r>
        <w:rPr>
          <w:rFonts w:cs="Calibri"/>
        </w:rPr>
        <w:t>60-plussers gaan premie ouderdomspensioen betalen over het aanvullende pensioen</w:t>
      </w:r>
    </w:p>
    <w:p w:rsidR="001C4F5C" w:rsidRDefault="001C4F5C" w:rsidP="001C4F5C">
      <w:pPr>
        <w:pStyle w:val="Lijstalinea"/>
        <w:numPr>
          <w:ilvl w:val="0"/>
          <w:numId w:val="4"/>
        </w:numPr>
        <w:spacing w:after="0" w:line="240" w:lineRule="auto"/>
        <w:ind w:left="426" w:hanging="426"/>
        <w:rPr>
          <w:rFonts w:cs="Calibri"/>
        </w:rPr>
      </w:pPr>
      <w:r>
        <w:rPr>
          <w:rFonts w:cs="Calibri"/>
        </w:rPr>
        <w:t>De franchise wordt verlaagd naar 85% van het wettelijk minimumloon</w:t>
      </w:r>
    </w:p>
    <w:p w:rsidR="001C4F5C" w:rsidRDefault="001C4F5C" w:rsidP="001C4F5C">
      <w:pPr>
        <w:pStyle w:val="Lijstalinea"/>
        <w:numPr>
          <w:ilvl w:val="0"/>
          <w:numId w:val="4"/>
        </w:numPr>
        <w:spacing w:after="0" w:line="240" w:lineRule="auto"/>
        <w:ind w:left="426" w:hanging="426"/>
        <w:rPr>
          <w:rFonts w:cs="Calibri"/>
        </w:rPr>
      </w:pPr>
      <w:r>
        <w:rPr>
          <w:rFonts w:cs="Calibri"/>
        </w:rPr>
        <w:t>De aanvullende pensioenen worden waardevast</w:t>
      </w:r>
    </w:p>
    <w:p w:rsidR="001C4F5C" w:rsidRPr="00D95DCD" w:rsidRDefault="001C4F5C" w:rsidP="001C4F5C">
      <w:pPr>
        <w:pStyle w:val="Lijstalinea"/>
        <w:numPr>
          <w:ilvl w:val="0"/>
          <w:numId w:val="4"/>
        </w:numPr>
        <w:spacing w:after="0" w:line="240" w:lineRule="auto"/>
        <w:ind w:left="426" w:hanging="426"/>
        <w:rPr>
          <w:rFonts w:cs="Calibri"/>
        </w:rPr>
      </w:pPr>
      <w:r w:rsidRPr="00D95DCD">
        <w:rPr>
          <w:rFonts w:cs="Calibri"/>
        </w:rPr>
        <w:t>De aanvullende pensioenen worden gebaseerd op het middelloon (gemiddeld verdiende loon); het middelloon bedraagt gemiddeld 80% van het eindloon.</w:t>
      </w:r>
    </w:p>
    <w:p w:rsidR="001C4F5C" w:rsidRDefault="001C4F5C" w:rsidP="001C4F5C">
      <w:pPr>
        <w:rPr>
          <w:rFonts w:cs="Calibri"/>
        </w:rPr>
      </w:pPr>
    </w:p>
    <w:p w:rsidR="001C4F5C" w:rsidRDefault="001C4F5C" w:rsidP="001C4F5C">
      <w:pPr>
        <w:rPr>
          <w:rFonts w:cs="Calibri"/>
        </w:rPr>
      </w:pPr>
      <w:r>
        <w:rPr>
          <w:rFonts w:cs="Calibri"/>
        </w:rPr>
        <w:t>In onderstaande tabel zijn de premiepercentages van het huidige stelsel en van het stelsel Mans opgenomen.</w:t>
      </w:r>
    </w:p>
    <w:p w:rsidR="001C4F5C" w:rsidRDefault="001C4F5C" w:rsidP="001C4F5C">
      <w:pPr>
        <w:rPr>
          <w:rFonts w:cs="Calibri"/>
          <w:b/>
        </w:rPr>
      </w:pPr>
      <w:r>
        <w:rPr>
          <w:rFonts w:cs="Calibri"/>
          <w:b/>
        </w:rPr>
        <w:t>Tabel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842"/>
        <w:gridCol w:w="2127"/>
        <w:gridCol w:w="1559"/>
      </w:tblGrid>
      <w:tr w:rsidR="001C4F5C" w:rsidTr="00A965E8">
        <w:tc>
          <w:tcPr>
            <w:tcW w:w="7655" w:type="dxa"/>
            <w:gridSpan w:val="5"/>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Pensioenpremie in beide stelsels in % van het bruto-inkomen minus franchise</w:t>
            </w:r>
          </w:p>
        </w:tc>
      </w:tr>
      <w:tr w:rsidR="001C4F5C" w:rsidTr="00A965E8">
        <w:tc>
          <w:tcPr>
            <w:tcW w:w="851" w:type="dxa"/>
            <w:tcBorders>
              <w:top w:val="single" w:sz="4" w:space="0" w:color="auto"/>
              <w:left w:val="single" w:sz="4" w:space="0" w:color="auto"/>
              <w:bottom w:val="single" w:sz="4" w:space="0" w:color="auto"/>
              <w:right w:val="single" w:sz="4" w:space="0" w:color="auto"/>
            </w:tcBorders>
          </w:tcPr>
          <w:p w:rsidR="001C4F5C" w:rsidRDefault="001C4F5C" w:rsidP="00A965E8">
            <w:pPr>
              <w:rPr>
                <w:rFonts w:cs="Calibri"/>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ouderdomspensioen (omslag)</w:t>
            </w:r>
          </w:p>
        </w:tc>
        <w:tc>
          <w:tcPr>
            <w:tcW w:w="3686" w:type="dxa"/>
            <w:gridSpan w:val="2"/>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Aanvullend pensioen (kapitaaldekking)</w:t>
            </w:r>
          </w:p>
        </w:tc>
      </w:tr>
      <w:tr w:rsidR="001C4F5C" w:rsidTr="00A965E8">
        <w:tc>
          <w:tcPr>
            <w:tcW w:w="851" w:type="dxa"/>
            <w:tcBorders>
              <w:top w:val="single" w:sz="4" w:space="0" w:color="auto"/>
              <w:left w:val="single" w:sz="4" w:space="0" w:color="auto"/>
              <w:bottom w:val="single" w:sz="4" w:space="0" w:color="auto"/>
              <w:right w:val="single" w:sz="4" w:space="0" w:color="auto"/>
            </w:tcBorders>
          </w:tcPr>
          <w:p w:rsidR="001C4F5C" w:rsidRDefault="001C4F5C" w:rsidP="00A965E8">
            <w:pPr>
              <w:rPr>
                <w:rFonts w:cs="Calibri"/>
              </w:rPr>
            </w:pPr>
          </w:p>
        </w:tc>
        <w:tc>
          <w:tcPr>
            <w:tcW w:w="1276" w:type="dxa"/>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Stelsel A</w:t>
            </w:r>
          </w:p>
        </w:tc>
        <w:tc>
          <w:tcPr>
            <w:tcW w:w="1842" w:type="dxa"/>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Stelsel B</w:t>
            </w:r>
          </w:p>
        </w:tc>
        <w:tc>
          <w:tcPr>
            <w:tcW w:w="2127" w:type="dxa"/>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Stelsel A</w:t>
            </w:r>
          </w:p>
        </w:tc>
        <w:tc>
          <w:tcPr>
            <w:tcW w:w="1559" w:type="dxa"/>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Stelsel B</w:t>
            </w:r>
          </w:p>
        </w:tc>
      </w:tr>
      <w:tr w:rsidR="001C4F5C" w:rsidTr="00A965E8">
        <w:tc>
          <w:tcPr>
            <w:tcW w:w="851" w:type="dxa"/>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2010</w:t>
            </w:r>
          </w:p>
        </w:tc>
        <w:tc>
          <w:tcPr>
            <w:tcW w:w="1276"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14%</w:t>
            </w:r>
          </w:p>
        </w:tc>
        <w:tc>
          <w:tcPr>
            <w:tcW w:w="1842"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14%</w:t>
            </w:r>
          </w:p>
        </w:tc>
        <w:tc>
          <w:tcPr>
            <w:tcW w:w="2127"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7%</w:t>
            </w:r>
          </w:p>
        </w:tc>
        <w:tc>
          <w:tcPr>
            <w:tcW w:w="1559"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7%</w:t>
            </w:r>
          </w:p>
        </w:tc>
      </w:tr>
      <w:tr w:rsidR="001C4F5C" w:rsidTr="00A965E8">
        <w:tc>
          <w:tcPr>
            <w:tcW w:w="851" w:type="dxa"/>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2015</w:t>
            </w:r>
          </w:p>
        </w:tc>
        <w:tc>
          <w:tcPr>
            <w:tcW w:w="1276"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14%</w:t>
            </w:r>
          </w:p>
        </w:tc>
        <w:tc>
          <w:tcPr>
            <w:tcW w:w="1842"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14%</w:t>
            </w:r>
          </w:p>
        </w:tc>
        <w:tc>
          <w:tcPr>
            <w:tcW w:w="2127"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13%</w:t>
            </w:r>
          </w:p>
        </w:tc>
        <w:tc>
          <w:tcPr>
            <w:tcW w:w="1559"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9%</w:t>
            </w:r>
          </w:p>
        </w:tc>
      </w:tr>
      <w:tr w:rsidR="001C4F5C" w:rsidTr="00A965E8">
        <w:tc>
          <w:tcPr>
            <w:tcW w:w="851" w:type="dxa"/>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2030</w:t>
            </w:r>
          </w:p>
        </w:tc>
        <w:tc>
          <w:tcPr>
            <w:tcW w:w="1276"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18%</w:t>
            </w:r>
          </w:p>
        </w:tc>
        <w:tc>
          <w:tcPr>
            <w:tcW w:w="1842"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17%</w:t>
            </w:r>
          </w:p>
        </w:tc>
        <w:tc>
          <w:tcPr>
            <w:tcW w:w="2127"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25%</w:t>
            </w:r>
          </w:p>
        </w:tc>
        <w:tc>
          <w:tcPr>
            <w:tcW w:w="1559"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15%</w:t>
            </w:r>
          </w:p>
        </w:tc>
      </w:tr>
      <w:tr w:rsidR="001C4F5C" w:rsidTr="00A965E8">
        <w:tc>
          <w:tcPr>
            <w:tcW w:w="851" w:type="dxa"/>
            <w:tcBorders>
              <w:top w:val="single" w:sz="4" w:space="0" w:color="auto"/>
              <w:left w:val="single" w:sz="4" w:space="0" w:color="auto"/>
              <w:bottom w:val="single" w:sz="4" w:space="0" w:color="auto"/>
              <w:right w:val="single" w:sz="4" w:space="0" w:color="auto"/>
            </w:tcBorders>
            <w:hideMark/>
          </w:tcPr>
          <w:p w:rsidR="001C4F5C" w:rsidRDefault="001C4F5C" w:rsidP="00A965E8">
            <w:pPr>
              <w:rPr>
                <w:rFonts w:cs="Calibri"/>
              </w:rPr>
            </w:pPr>
            <w:r>
              <w:rPr>
                <w:rFonts w:cs="Calibri"/>
              </w:rPr>
              <w:t>2045</w:t>
            </w:r>
          </w:p>
        </w:tc>
        <w:tc>
          <w:tcPr>
            <w:tcW w:w="1276"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21%</w:t>
            </w:r>
          </w:p>
        </w:tc>
        <w:tc>
          <w:tcPr>
            <w:tcW w:w="1842"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18%</w:t>
            </w:r>
          </w:p>
        </w:tc>
        <w:tc>
          <w:tcPr>
            <w:tcW w:w="2127"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26%</w:t>
            </w:r>
          </w:p>
        </w:tc>
        <w:tc>
          <w:tcPr>
            <w:tcW w:w="1559" w:type="dxa"/>
            <w:tcBorders>
              <w:top w:val="single" w:sz="4" w:space="0" w:color="auto"/>
              <w:left w:val="single" w:sz="4" w:space="0" w:color="auto"/>
              <w:bottom w:val="single" w:sz="4" w:space="0" w:color="auto"/>
              <w:right w:val="single" w:sz="4" w:space="0" w:color="auto"/>
            </w:tcBorders>
            <w:hideMark/>
          </w:tcPr>
          <w:p w:rsidR="001C4F5C" w:rsidRDefault="001C4F5C" w:rsidP="00A965E8">
            <w:pPr>
              <w:jc w:val="center"/>
              <w:rPr>
                <w:rFonts w:cs="Calibri"/>
              </w:rPr>
            </w:pPr>
            <w:r>
              <w:rPr>
                <w:rFonts w:cs="Calibri"/>
              </w:rPr>
              <w:t>15%</w:t>
            </w:r>
          </w:p>
        </w:tc>
      </w:tr>
    </w:tbl>
    <w:p w:rsidR="001C4F5C" w:rsidRDefault="001C4F5C" w:rsidP="001C4F5C">
      <w:pPr>
        <w:rPr>
          <w:rFonts w:cs="Calibri"/>
        </w:rPr>
      </w:pPr>
    </w:p>
    <w:p w:rsidR="001C4F5C" w:rsidRDefault="001C4F5C" w:rsidP="001C4F5C">
      <w:pPr>
        <w:pStyle w:val="Lijstalinea"/>
        <w:numPr>
          <w:ilvl w:val="0"/>
          <w:numId w:val="5"/>
        </w:numPr>
        <w:spacing w:after="0" w:line="240" w:lineRule="auto"/>
        <w:ind w:left="426" w:hanging="426"/>
        <w:rPr>
          <w:rFonts w:cs="Calibri"/>
        </w:rPr>
      </w:pPr>
      <w:r>
        <w:rPr>
          <w:rFonts w:cs="Calibri"/>
        </w:rPr>
        <w:t>Leg uit wat het verschil is tussen een waardevaste en welvaartsvaste uitkering.</w:t>
      </w:r>
    </w:p>
    <w:p w:rsidR="001C4F5C" w:rsidRDefault="001C4F5C" w:rsidP="001C4F5C">
      <w:pPr>
        <w:pStyle w:val="Lijstalinea"/>
        <w:numPr>
          <w:ilvl w:val="0"/>
          <w:numId w:val="5"/>
        </w:numPr>
        <w:spacing w:after="0" w:line="240" w:lineRule="auto"/>
        <w:ind w:left="426" w:hanging="426"/>
        <w:rPr>
          <w:rFonts w:cs="Calibri"/>
        </w:rPr>
      </w:pPr>
      <w:r>
        <w:rPr>
          <w:rFonts w:cs="Calibri"/>
        </w:rPr>
        <w:t>Geef een reden hoe uit bovenstaande context blijkt dat stelsel B het stelsel Mans is. Verklaar het antwoord door uit te gaan van de premies voor aanvullende pensioenen in de tabel.</w:t>
      </w:r>
    </w:p>
    <w:p w:rsidR="001C4F5C" w:rsidRDefault="001C4F5C" w:rsidP="001C4F5C">
      <w:pPr>
        <w:pStyle w:val="Lijstalinea"/>
        <w:spacing w:after="0" w:line="240" w:lineRule="auto"/>
        <w:rPr>
          <w:rFonts w:cs="Calibri"/>
        </w:rPr>
      </w:pPr>
    </w:p>
    <w:p w:rsidR="001C4F5C" w:rsidRDefault="001C4F5C" w:rsidP="001C4F5C">
      <w:pPr>
        <w:pStyle w:val="Lijstalinea"/>
        <w:spacing w:after="0" w:line="240" w:lineRule="auto"/>
        <w:ind w:left="0"/>
        <w:rPr>
          <w:rFonts w:cs="Calibri"/>
        </w:rPr>
      </w:pPr>
      <w:r>
        <w:rPr>
          <w:rFonts w:cs="Calibri"/>
        </w:rPr>
        <w:t>Een alleenverdiener in dit land heeft in 2010 een bruto-inkomen dat 50% hoger is dan het wettelijk bruto minimumloon.</w:t>
      </w:r>
    </w:p>
    <w:p w:rsidR="001C4F5C" w:rsidRDefault="001C4F5C" w:rsidP="001C4F5C">
      <w:pPr>
        <w:pStyle w:val="Lijstalinea"/>
        <w:numPr>
          <w:ilvl w:val="0"/>
          <w:numId w:val="5"/>
        </w:numPr>
        <w:spacing w:after="0" w:line="240" w:lineRule="auto"/>
        <w:ind w:left="426" w:hanging="426"/>
        <w:rPr>
          <w:rFonts w:cs="Calibri"/>
        </w:rPr>
      </w:pPr>
      <w:r>
        <w:rPr>
          <w:rFonts w:cs="Calibri"/>
        </w:rPr>
        <w:t>Bereken hoeveel procent van zijn totale bruto-inkomen deze alleenverdiener, in het huidige stelsel (A), moet afstaan aan premie aanvullend pensioen.</w:t>
      </w:r>
    </w:p>
    <w:p w:rsidR="001C4F5C" w:rsidRDefault="001C4F5C" w:rsidP="001C4F5C">
      <w:pPr>
        <w:pStyle w:val="Lijstalinea"/>
        <w:spacing w:after="0" w:line="240" w:lineRule="auto"/>
        <w:ind w:left="426"/>
        <w:rPr>
          <w:rFonts w:cs="Calibri"/>
          <w:i/>
        </w:rPr>
      </w:pPr>
      <w:r>
        <w:rPr>
          <w:rFonts w:cs="Calibri"/>
          <w:i/>
        </w:rPr>
        <w:t>Hint: Gebruik indexcijfers. Stel het wettelijk bruto minimumloon op 100 en gebruik pijler 2.</w:t>
      </w:r>
    </w:p>
    <w:p w:rsidR="001C4F5C" w:rsidRDefault="001C4F5C">
      <w:pPr>
        <w:spacing w:after="200" w:line="276" w:lineRule="auto"/>
        <w:rPr>
          <w:rFonts w:cs="Calibri"/>
        </w:rPr>
      </w:pPr>
      <w:r>
        <w:rPr>
          <w:rFonts w:cs="Calibri"/>
        </w:rPr>
        <w:br w:type="page"/>
      </w:r>
    </w:p>
    <w:p w:rsidR="001C4F5C" w:rsidRDefault="001C4F5C" w:rsidP="001C4F5C">
      <w:pPr>
        <w:rPr>
          <w:rFonts w:cs="Calibri"/>
        </w:rPr>
      </w:pPr>
      <w:r>
        <w:rPr>
          <w:rFonts w:cs="Calibri"/>
        </w:rPr>
        <w:lastRenderedPageBreak/>
        <w:t xml:space="preserve">Econoom </w:t>
      </w:r>
      <w:proofErr w:type="spellStart"/>
      <w:r>
        <w:rPr>
          <w:rFonts w:cs="Calibri"/>
        </w:rPr>
        <w:t>Hekking</w:t>
      </w:r>
      <w:proofErr w:type="spellEnd"/>
      <w:r>
        <w:rPr>
          <w:rFonts w:cs="Calibri"/>
        </w:rPr>
        <w:t xml:space="preserve"> vergelijkt de beide stelsels. Zij doet, naar aanleiding van de gegevens uit de tekst en de tabel, de volgende uitspraak:</w:t>
      </w:r>
    </w:p>
    <w:p w:rsidR="001C4F5C" w:rsidRDefault="001C4F5C" w:rsidP="001C4F5C">
      <w:pPr>
        <w:rPr>
          <w:rFonts w:cs="Calibri"/>
        </w:rPr>
      </w:pPr>
      <w:r>
        <w:rPr>
          <w:rFonts w:cs="Calibri"/>
        </w:rPr>
        <w:t>‘De steeds verdergaande vergrijzing in het land in combinatie met toenemende onzekerheid over het voortbestaan van het collectieve ouderdomspensioen, leidt ertoe dat steeds meer burgers kiezen voor individuele spaarregelingen op basis van kapitaaldekking. En dat ondanks het feit dat de huidige rentestanden erg laag zijn.’</w:t>
      </w:r>
    </w:p>
    <w:p w:rsidR="001C4F5C" w:rsidRPr="00993F26" w:rsidRDefault="001C4F5C" w:rsidP="001C4F5C">
      <w:pPr>
        <w:pStyle w:val="Lijstalinea"/>
        <w:numPr>
          <w:ilvl w:val="0"/>
          <w:numId w:val="5"/>
        </w:numPr>
        <w:spacing w:after="0" w:line="240" w:lineRule="auto"/>
        <w:ind w:left="426" w:hanging="426"/>
        <w:rPr>
          <w:rFonts w:cs="Calibri"/>
        </w:rPr>
      </w:pPr>
      <w:r w:rsidRPr="00993F26">
        <w:rPr>
          <w:rFonts w:cs="Calibri"/>
        </w:rPr>
        <w:t xml:space="preserve">Leg de uitspraak van econoom </w:t>
      </w:r>
      <w:proofErr w:type="spellStart"/>
      <w:r w:rsidRPr="00993F26">
        <w:rPr>
          <w:rFonts w:cs="Calibri"/>
        </w:rPr>
        <w:t>Hekking</w:t>
      </w:r>
      <w:proofErr w:type="spellEnd"/>
      <w:r w:rsidRPr="00993F26">
        <w:rPr>
          <w:rFonts w:cs="Calibri"/>
        </w:rPr>
        <w:t xml:space="preserve"> uit.</w:t>
      </w:r>
    </w:p>
    <w:p w:rsidR="001C4F5C" w:rsidRDefault="001C4F5C">
      <w:pPr>
        <w:spacing w:after="200" w:line="276" w:lineRule="auto"/>
        <w:rPr>
          <w:rFonts w:eastAsia="Times New Roman" w:cs="Calibri"/>
          <w:b/>
          <w:lang w:eastAsia="nl-NL"/>
        </w:rPr>
      </w:pPr>
      <w:r>
        <w:rPr>
          <w:rFonts w:cs="Calibri"/>
          <w:b/>
        </w:rPr>
        <w:br w:type="page"/>
      </w:r>
    </w:p>
    <w:p w:rsidR="001C4F5C" w:rsidRPr="00965E88" w:rsidRDefault="001C4F5C" w:rsidP="001C4F5C">
      <w:pPr>
        <w:pStyle w:val="bodytext"/>
        <w:spacing w:before="0" w:after="0" w:line="240" w:lineRule="auto"/>
        <w:ind w:left="0"/>
        <w:rPr>
          <w:rFonts w:ascii="Calibri" w:hAnsi="Calibri" w:cs="Calibri"/>
          <w:b/>
          <w:sz w:val="22"/>
          <w:szCs w:val="22"/>
        </w:rPr>
      </w:pPr>
      <w:r w:rsidRPr="00965E88">
        <w:rPr>
          <w:rFonts w:ascii="Calibri" w:hAnsi="Calibri" w:cs="Calibri"/>
          <w:b/>
          <w:sz w:val="22"/>
          <w:szCs w:val="22"/>
        </w:rPr>
        <w:lastRenderedPageBreak/>
        <w:t xml:space="preserve">Uitwerking opdracht </w:t>
      </w:r>
      <w:r>
        <w:rPr>
          <w:rFonts w:ascii="Calibri" w:hAnsi="Calibri" w:cs="Calibri"/>
          <w:b/>
          <w:sz w:val="22"/>
          <w:szCs w:val="22"/>
        </w:rPr>
        <w:t>5</w:t>
      </w:r>
      <w:r w:rsidRPr="00965E88">
        <w:rPr>
          <w:rFonts w:ascii="Calibri" w:hAnsi="Calibri" w:cs="Calibri"/>
          <w:b/>
          <w:sz w:val="22"/>
          <w:szCs w:val="22"/>
        </w:rPr>
        <w:t>.</w:t>
      </w:r>
      <w:r>
        <w:rPr>
          <w:rFonts w:ascii="Calibri" w:hAnsi="Calibri" w:cs="Calibri"/>
          <w:b/>
          <w:sz w:val="22"/>
          <w:szCs w:val="22"/>
        </w:rPr>
        <w:t>1</w:t>
      </w:r>
    </w:p>
    <w:p w:rsidR="001C4F5C" w:rsidRPr="00965E88" w:rsidRDefault="001C4F5C" w:rsidP="001C4F5C">
      <w:pPr>
        <w:pStyle w:val="bodytext"/>
        <w:numPr>
          <w:ilvl w:val="0"/>
          <w:numId w:val="2"/>
        </w:numPr>
        <w:spacing w:before="0" w:after="0" w:line="240" w:lineRule="auto"/>
        <w:ind w:left="426" w:hanging="426"/>
        <w:rPr>
          <w:rFonts w:ascii="Calibri" w:hAnsi="Calibri" w:cs="Calibri"/>
          <w:sz w:val="22"/>
          <w:szCs w:val="22"/>
        </w:rPr>
      </w:pPr>
      <w:r>
        <w:rPr>
          <w:rFonts w:ascii="Calibri" w:hAnsi="Calibri" w:cs="Calibri"/>
          <w:sz w:val="22"/>
          <w:szCs w:val="22"/>
        </w:rPr>
        <w:t>Toenemende vergrijzing</w:t>
      </w:r>
      <w:r w:rsidRPr="00965E88">
        <w:rPr>
          <w:rFonts w:ascii="Calibri" w:hAnsi="Calibri" w:cs="Calibri"/>
          <w:sz w:val="22"/>
          <w:szCs w:val="22"/>
        </w:rPr>
        <w:t xml:space="preserve"> betekent dat er steeds minder mensen premie opbrengen voor de </w:t>
      </w:r>
      <w:r>
        <w:rPr>
          <w:rFonts w:ascii="Calibri" w:hAnsi="Calibri" w:cs="Calibri"/>
          <w:sz w:val="22"/>
          <w:szCs w:val="22"/>
        </w:rPr>
        <w:t>gepensioneerden</w:t>
      </w:r>
      <w:r w:rsidRPr="00965E88">
        <w:rPr>
          <w:rFonts w:ascii="Calibri" w:hAnsi="Calibri" w:cs="Calibri"/>
          <w:sz w:val="22"/>
          <w:szCs w:val="22"/>
        </w:rPr>
        <w:t xml:space="preserve">. Hierdoor </w:t>
      </w:r>
      <w:r>
        <w:rPr>
          <w:rFonts w:ascii="Calibri" w:hAnsi="Calibri" w:cs="Calibri"/>
          <w:sz w:val="22"/>
          <w:szCs w:val="22"/>
        </w:rPr>
        <w:t>zijn er te weinig inkomsten om aan de uitkeringsverplichtingen te kunnen voldoen.</w:t>
      </w:r>
    </w:p>
    <w:p w:rsidR="001C4F5C" w:rsidRPr="00965E88" w:rsidRDefault="001C4F5C" w:rsidP="001C4F5C">
      <w:pPr>
        <w:pStyle w:val="bodytext"/>
        <w:numPr>
          <w:ilvl w:val="0"/>
          <w:numId w:val="2"/>
        </w:numPr>
        <w:spacing w:before="0" w:after="0" w:line="240" w:lineRule="auto"/>
        <w:ind w:left="426" w:hanging="426"/>
        <w:rPr>
          <w:rFonts w:ascii="Calibri" w:hAnsi="Calibri" w:cs="Calibri"/>
          <w:sz w:val="22"/>
          <w:szCs w:val="22"/>
        </w:rPr>
      </w:pPr>
      <w:r w:rsidRPr="00965E88">
        <w:rPr>
          <w:rFonts w:ascii="Calibri" w:hAnsi="Calibri" w:cs="Calibri"/>
          <w:sz w:val="22"/>
          <w:szCs w:val="22"/>
        </w:rPr>
        <w:t xml:space="preserve">Als er meer mensen tussen </w:t>
      </w:r>
      <w:r>
        <w:rPr>
          <w:rFonts w:ascii="Calibri" w:hAnsi="Calibri" w:cs="Calibri"/>
          <w:sz w:val="22"/>
          <w:szCs w:val="22"/>
        </w:rPr>
        <w:t>de 17</w:t>
      </w:r>
      <w:r w:rsidRPr="00965E88">
        <w:rPr>
          <w:rFonts w:ascii="Calibri" w:hAnsi="Calibri" w:cs="Calibri"/>
          <w:sz w:val="22"/>
          <w:szCs w:val="22"/>
        </w:rPr>
        <w:t xml:space="preserve"> </w:t>
      </w:r>
      <w:r>
        <w:rPr>
          <w:rFonts w:ascii="Calibri" w:hAnsi="Calibri" w:cs="Calibri"/>
          <w:sz w:val="22"/>
          <w:szCs w:val="22"/>
        </w:rPr>
        <w:t>jaar en de pensioenleeftijd</w:t>
      </w:r>
      <w:r w:rsidRPr="00965E88">
        <w:rPr>
          <w:rFonts w:ascii="Calibri" w:hAnsi="Calibri" w:cs="Calibri"/>
          <w:sz w:val="22"/>
          <w:szCs w:val="22"/>
        </w:rPr>
        <w:t xml:space="preserve"> werken, zullen ze gezamenlijk ook meer AOW-premie betalen en komt de uitkering van de AOW minder onder druk.</w:t>
      </w:r>
    </w:p>
    <w:p w:rsidR="001C4F5C" w:rsidRPr="00965E88" w:rsidRDefault="001C4F5C" w:rsidP="001C4F5C">
      <w:pPr>
        <w:pStyle w:val="bodytext"/>
        <w:numPr>
          <w:ilvl w:val="0"/>
          <w:numId w:val="2"/>
        </w:numPr>
        <w:spacing w:before="0" w:after="0" w:line="240" w:lineRule="auto"/>
        <w:ind w:left="426" w:hanging="426"/>
        <w:rPr>
          <w:rFonts w:ascii="Calibri" w:hAnsi="Calibri" w:cs="Calibri"/>
          <w:sz w:val="22"/>
          <w:szCs w:val="22"/>
        </w:rPr>
      </w:pPr>
      <w:r>
        <w:rPr>
          <w:rFonts w:ascii="Calibri" w:hAnsi="Calibri" w:cs="Calibri"/>
          <w:sz w:val="22"/>
          <w:szCs w:val="22"/>
        </w:rPr>
        <w:t>Ouderen met hoge inkomens en vermogens zullen minder AOW gaan ontvangen en de financierbaarheid van de AOW zal hierdoor minder onder druk staan.</w:t>
      </w:r>
    </w:p>
    <w:p w:rsidR="001C4F5C" w:rsidRPr="00545298" w:rsidRDefault="001C4F5C" w:rsidP="001C4F5C"/>
    <w:p w:rsidR="001C4F5C" w:rsidRDefault="001C4F5C" w:rsidP="001C4F5C">
      <w:pPr>
        <w:tabs>
          <w:tab w:val="left" w:pos="284"/>
          <w:tab w:val="left" w:pos="709"/>
        </w:tabs>
        <w:ind w:left="993" w:hanging="993"/>
        <w:rPr>
          <w:rFonts w:eastAsia="Times New Roman" w:cs="Calibri"/>
          <w:b/>
          <w:lang w:eastAsia="nl-NL"/>
        </w:rPr>
      </w:pPr>
      <w:r>
        <w:rPr>
          <w:rFonts w:eastAsia="Times New Roman" w:cs="Calibri"/>
          <w:b/>
          <w:lang w:eastAsia="nl-NL"/>
        </w:rPr>
        <w:t>Uitwerking opdracht 5.2</w:t>
      </w:r>
    </w:p>
    <w:p w:rsidR="001C4F5C" w:rsidRDefault="001C4F5C" w:rsidP="001C4F5C">
      <w:pPr>
        <w:tabs>
          <w:tab w:val="left" w:pos="-2977"/>
        </w:tabs>
        <w:ind w:left="426" w:hanging="426"/>
        <w:rPr>
          <w:rFonts w:eastAsia="Times New Roman" w:cs="Calibri"/>
          <w:lang w:eastAsia="nl-NL"/>
        </w:rPr>
      </w:pPr>
      <w:r>
        <w:rPr>
          <w:rFonts w:eastAsia="Times New Roman" w:cs="Calibri"/>
          <w:lang w:eastAsia="nl-NL"/>
        </w:rPr>
        <w:t>a.</w:t>
      </w:r>
      <w:r>
        <w:rPr>
          <w:rFonts w:eastAsia="Times New Roman" w:cs="Calibri"/>
          <w:lang w:eastAsia="nl-NL"/>
        </w:rPr>
        <w:tab/>
        <w:t xml:space="preserve">Bij een daling van de rente heeft het pensioenfonds een groter bedrag nodig om dat te laten aangroeien tot een voldoende hoog pensioen in de toekomst. </w:t>
      </w:r>
      <w:r>
        <w:rPr>
          <w:rFonts w:eastAsia="Times New Roman" w:cs="Calibri"/>
          <w:lang w:eastAsia="nl-NL"/>
        </w:rPr>
        <w:br/>
        <w:t>Of: Een daling van de rente leidt tot lagere beleggingsopbrengsten, waardoor het vermogen van het pensioenfonds minder hard groeit.</w:t>
      </w:r>
    </w:p>
    <w:p w:rsidR="001C4F5C" w:rsidRDefault="001C4F5C" w:rsidP="001C4F5C">
      <w:pPr>
        <w:tabs>
          <w:tab w:val="left" w:pos="-2977"/>
        </w:tabs>
        <w:ind w:left="426" w:hanging="426"/>
        <w:rPr>
          <w:rFonts w:eastAsia="Times New Roman" w:cs="Calibri"/>
          <w:lang w:eastAsia="nl-NL"/>
        </w:rPr>
      </w:pPr>
      <w:r>
        <w:rPr>
          <w:rFonts w:eastAsia="Times New Roman" w:cs="Calibri"/>
          <w:lang w:eastAsia="nl-NL"/>
        </w:rPr>
        <w:t>b.</w:t>
      </w:r>
      <w:r>
        <w:rPr>
          <w:rFonts w:eastAsia="Times New Roman" w:cs="Calibri"/>
          <w:lang w:eastAsia="nl-NL"/>
        </w:rPr>
        <w:tab/>
        <w:t>Het niet indexeren van pensioenen leidt tot lagere uitkeringen, dus minder hoge pensioenverplichtingen.</w:t>
      </w:r>
    </w:p>
    <w:p w:rsidR="001C4F5C" w:rsidRDefault="001C4F5C" w:rsidP="001C4F5C">
      <w:pPr>
        <w:tabs>
          <w:tab w:val="left" w:pos="-2977"/>
        </w:tabs>
        <w:ind w:left="426" w:hanging="426"/>
        <w:rPr>
          <w:rFonts w:eastAsia="Times New Roman" w:cs="Calibri"/>
          <w:lang w:eastAsia="nl-NL"/>
        </w:rPr>
      </w:pPr>
      <w:r>
        <w:rPr>
          <w:rFonts w:eastAsia="Times New Roman" w:cs="Calibri"/>
          <w:lang w:eastAsia="nl-NL"/>
        </w:rPr>
        <w:t>c.</w:t>
      </w:r>
      <w:r>
        <w:rPr>
          <w:rFonts w:eastAsia="Times New Roman" w:cs="Calibri"/>
          <w:lang w:eastAsia="nl-NL"/>
        </w:rPr>
        <w:tab/>
        <w:t>De dekkingsgraad stijgt door het verhogen van pensioenpremie, het korten op de pensioenuitkering, de stijging van de aandelenkoersen.</w:t>
      </w:r>
      <w:r>
        <w:rPr>
          <w:rFonts w:eastAsia="Times New Roman" w:cs="Calibri"/>
          <w:lang w:eastAsia="nl-NL"/>
        </w:rPr>
        <w:br/>
        <w:t>De dekkingsgraad daalt door het inzakken van de aandelenkoersen, de daling van de rendementen en een stijging van de levensverwachting.</w:t>
      </w:r>
    </w:p>
    <w:p w:rsidR="001C4F5C" w:rsidRDefault="001C4F5C" w:rsidP="001C4F5C">
      <w:pPr>
        <w:rPr>
          <w:rFonts w:cs="Calibri"/>
        </w:rPr>
      </w:pPr>
    </w:p>
    <w:p w:rsidR="001C4F5C" w:rsidRDefault="001C4F5C" w:rsidP="001C4F5C">
      <w:pPr>
        <w:rPr>
          <w:rFonts w:cs="Calibri"/>
          <w:b/>
        </w:rPr>
      </w:pPr>
      <w:r>
        <w:rPr>
          <w:rFonts w:cs="Calibri"/>
          <w:b/>
        </w:rPr>
        <w:t>Uitwerking opdracht 5.3</w:t>
      </w:r>
    </w:p>
    <w:p w:rsidR="001C4F5C" w:rsidRDefault="001C4F5C" w:rsidP="001C4F5C">
      <w:pPr>
        <w:pStyle w:val="Lijstalinea"/>
        <w:numPr>
          <w:ilvl w:val="0"/>
          <w:numId w:val="6"/>
        </w:numPr>
        <w:spacing w:after="0" w:line="240" w:lineRule="auto"/>
        <w:ind w:left="426" w:hanging="426"/>
        <w:rPr>
          <w:rFonts w:cs="Calibri"/>
        </w:rPr>
      </w:pPr>
      <w:r>
        <w:rPr>
          <w:rFonts w:cs="Calibri"/>
        </w:rPr>
        <w:t>Een waardevaste uitkering stijgt mee met de algemene prijsstijging (zodat de koopkracht behouden blijft). Een welvaartsvaste uitkering stijgt mee met de stijging van de gemiddelde cao-lonen.</w:t>
      </w:r>
    </w:p>
    <w:p w:rsidR="001C4F5C" w:rsidRDefault="001C4F5C" w:rsidP="001C4F5C">
      <w:pPr>
        <w:pStyle w:val="Lijstalinea"/>
        <w:numPr>
          <w:ilvl w:val="0"/>
          <w:numId w:val="6"/>
        </w:numPr>
        <w:spacing w:after="0" w:line="240" w:lineRule="auto"/>
        <w:ind w:left="426" w:hanging="426"/>
        <w:rPr>
          <w:rFonts w:cs="Calibri"/>
        </w:rPr>
      </w:pPr>
      <w:r w:rsidRPr="00D95DCD">
        <w:rPr>
          <w:rFonts w:cs="Calibri"/>
        </w:rPr>
        <w:t>In stelsel B stijgen de premies voor de aanvullende pensioenen minder snel omdat deze pensioenen niet langer welvaartsvast worden</w:t>
      </w:r>
      <w:r>
        <w:rPr>
          <w:rFonts w:cs="Calibri"/>
        </w:rPr>
        <w:t>.</w:t>
      </w:r>
    </w:p>
    <w:p w:rsidR="001C4F5C" w:rsidRPr="00D95DCD" w:rsidRDefault="001C4F5C" w:rsidP="001C4F5C">
      <w:pPr>
        <w:pStyle w:val="Lijstalinea"/>
        <w:spacing w:after="0" w:line="240" w:lineRule="auto"/>
        <w:ind w:left="426"/>
        <w:rPr>
          <w:rFonts w:cs="Calibri"/>
        </w:rPr>
      </w:pPr>
      <w:r>
        <w:rPr>
          <w:rFonts w:cs="Calibri"/>
        </w:rPr>
        <w:t>Of: De</w:t>
      </w:r>
      <w:r w:rsidRPr="00D95DCD">
        <w:rPr>
          <w:rFonts w:cs="Calibri"/>
        </w:rPr>
        <w:t xml:space="preserve"> pensioenen </w:t>
      </w:r>
      <w:r>
        <w:rPr>
          <w:rFonts w:cs="Calibri"/>
        </w:rPr>
        <w:t xml:space="preserve">worden </w:t>
      </w:r>
      <w:r w:rsidRPr="00D95DCD">
        <w:rPr>
          <w:rFonts w:cs="Calibri"/>
        </w:rPr>
        <w:t xml:space="preserve">voortaan </w:t>
      </w:r>
      <w:r>
        <w:rPr>
          <w:rFonts w:cs="Calibri"/>
        </w:rPr>
        <w:t>gebaseerd op</w:t>
      </w:r>
      <w:r w:rsidRPr="00D95DCD">
        <w:rPr>
          <w:rFonts w:cs="Calibri"/>
        </w:rPr>
        <w:t xml:space="preserve"> het middelloon</w:t>
      </w:r>
      <w:r>
        <w:rPr>
          <w:rFonts w:cs="Calibri"/>
        </w:rPr>
        <w:t xml:space="preserve"> (dat gemiddeld genomen lager is dan het eindloon).</w:t>
      </w:r>
    </w:p>
    <w:p w:rsidR="001C4F5C" w:rsidRDefault="001C4F5C" w:rsidP="001C4F5C">
      <w:pPr>
        <w:pStyle w:val="Lijstalinea"/>
        <w:numPr>
          <w:ilvl w:val="0"/>
          <w:numId w:val="6"/>
        </w:numPr>
        <w:spacing w:after="0" w:line="240" w:lineRule="auto"/>
        <w:ind w:left="426" w:hanging="426"/>
        <w:rPr>
          <w:rFonts w:cs="Calibri"/>
        </w:rPr>
      </w:pPr>
      <w:r>
        <w:rPr>
          <w:rFonts w:cs="Calibri"/>
        </w:rPr>
        <w:t>0,07 × (150 – 110) / 150 × 100% = 1,9%.</w:t>
      </w:r>
    </w:p>
    <w:p w:rsidR="008C5E72" w:rsidRPr="001C4F5C" w:rsidRDefault="001C4F5C" w:rsidP="001C4F5C">
      <w:pPr>
        <w:pStyle w:val="Lijstalinea"/>
        <w:numPr>
          <w:ilvl w:val="0"/>
          <w:numId w:val="6"/>
        </w:numPr>
        <w:spacing w:after="0" w:line="240" w:lineRule="auto"/>
        <w:ind w:left="426" w:hanging="426"/>
        <w:rPr>
          <w:rFonts w:cs="Times New Roman"/>
        </w:rPr>
      </w:pPr>
      <w:r>
        <w:rPr>
          <w:rFonts w:cs="Calibri"/>
        </w:rPr>
        <w:t>Burgers vinden het opgebouwde pensioen in pijler 1 en 2 te laag voor hun toekomstige consumptieve uitgaven. Dus bouwen zij extra pensioenvermogen op in pijler 3, ondanks het feit dat dit door de lage rentestand niet erg rendabel is.</w:t>
      </w:r>
    </w:p>
    <w:sectPr w:rsidR="008C5E72" w:rsidRPr="001C4F5C" w:rsidSect="005278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39D" w:rsidRDefault="00AA439D" w:rsidP="00B6027F">
      <w:r>
        <w:separator/>
      </w:r>
    </w:p>
  </w:endnote>
  <w:endnote w:type="continuationSeparator" w:id="0">
    <w:p w:rsidR="00AA439D" w:rsidRDefault="00AA439D" w:rsidP="00B6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QuadraatSans-Regular">
    <w:altName w:val="Calibri"/>
    <w:panose1 w:val="02010504050101020103"/>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B1" w:rsidRDefault="001F65B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B1" w:rsidRDefault="001F65B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B1" w:rsidRDefault="001F65B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39D" w:rsidRDefault="00AA439D" w:rsidP="00B6027F">
      <w:r>
        <w:separator/>
      </w:r>
    </w:p>
  </w:footnote>
  <w:footnote w:type="continuationSeparator" w:id="0">
    <w:p w:rsidR="00AA439D" w:rsidRDefault="00AA439D" w:rsidP="00B60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B1" w:rsidRDefault="001F65B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31298"/>
      <w:docPartObj>
        <w:docPartGallery w:val="Page Numbers (Top of Page)"/>
        <w:docPartUnique/>
      </w:docPartObj>
    </w:sdtPr>
    <w:sdtEndPr>
      <w:rPr>
        <w:rFonts w:ascii="Arial" w:hAnsi="Arial" w:cs="Arial"/>
        <w:sz w:val="16"/>
        <w:szCs w:val="16"/>
      </w:rPr>
    </w:sdtEndPr>
    <w:sdtContent>
      <w:p w:rsidR="00B6027F" w:rsidRPr="00C73D1B" w:rsidRDefault="00B6027F" w:rsidP="00B6027F">
        <w:pPr>
          <w:pStyle w:val="Koptekst"/>
          <w:jc w:val="right"/>
          <w:rPr>
            <w:rFonts w:ascii="Arial" w:hAnsi="Arial" w:cs="Arial"/>
            <w:sz w:val="16"/>
            <w:szCs w:val="16"/>
          </w:rPr>
        </w:pPr>
        <w:r>
          <w:rPr>
            <w:noProof/>
            <w:sz w:val="20"/>
            <w:szCs w:val="20"/>
            <w:lang w:eastAsia="nl-NL"/>
          </w:rPr>
          <w:drawing>
            <wp:inline distT="0" distB="0" distL="0" distR="0" wp14:anchorId="32E8C8D7" wp14:editId="276DAC76">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ascii="Arial" w:hAnsi="Arial" w:cs="Arial"/>
            <w:sz w:val="16"/>
            <w:szCs w:val="16"/>
          </w:rPr>
          <w:t xml:space="preserve"> </w:t>
        </w:r>
        <w:r>
          <w:rPr>
            <w:rFonts w:ascii="Arial" w:hAnsi="Arial" w:cs="Arial"/>
            <w:sz w:val="16"/>
            <w:szCs w:val="16"/>
          </w:rPr>
          <w:t>Levensloop</w:t>
        </w:r>
        <w:r w:rsidRPr="00BE1329">
          <w:rPr>
            <w:rFonts w:ascii="Arial" w:hAnsi="Arial" w:cs="Arial"/>
            <w:sz w:val="16"/>
            <w:szCs w:val="16"/>
          </w:rPr>
          <w:t xml:space="preserve"> h</w:t>
        </w:r>
        <w:r>
          <w:rPr>
            <w:rFonts w:ascii="Arial" w:hAnsi="Arial" w:cs="Arial"/>
            <w:sz w:val="16"/>
            <w:szCs w:val="16"/>
          </w:rPr>
          <w:t>oofdstuk 5</w:t>
        </w:r>
        <w:r w:rsidRPr="00BE1329">
          <w:rPr>
            <w:rFonts w:ascii="Arial" w:hAnsi="Arial" w:cs="Arial"/>
            <w:sz w:val="16"/>
            <w:szCs w:val="16"/>
          </w:rPr>
          <w:t xml:space="preserve"> extra oefenopgaven (website)</w:t>
        </w:r>
        <w:r>
          <w:rPr>
            <w:rFonts w:ascii="Arial" w:hAnsi="Arial" w:cs="Arial"/>
            <w:sz w:val="16"/>
            <w:szCs w:val="16"/>
          </w:rPr>
          <w:tab/>
        </w:r>
        <w:r>
          <w:rPr>
            <w:rFonts w:ascii="Arial" w:hAnsi="Arial" w:cs="Arial"/>
            <w:sz w:val="16"/>
            <w:szCs w:val="16"/>
          </w:rPr>
          <w:tab/>
        </w:r>
        <w:r w:rsidRPr="00D6173D">
          <w:rPr>
            <w:rFonts w:ascii="Arial" w:hAnsi="Arial" w:cs="Arial"/>
            <w:sz w:val="16"/>
            <w:szCs w:val="16"/>
          </w:rPr>
          <w:fldChar w:fldCharType="begin"/>
        </w:r>
        <w:r w:rsidRPr="00D6173D">
          <w:rPr>
            <w:rFonts w:ascii="Arial" w:hAnsi="Arial" w:cs="Arial"/>
            <w:sz w:val="16"/>
            <w:szCs w:val="16"/>
          </w:rPr>
          <w:instrText>PAGE   \* MERGEFORMAT</w:instrText>
        </w:r>
        <w:r w:rsidRPr="00D6173D">
          <w:rPr>
            <w:rFonts w:ascii="Arial" w:hAnsi="Arial" w:cs="Arial"/>
            <w:sz w:val="16"/>
            <w:szCs w:val="16"/>
          </w:rPr>
          <w:fldChar w:fldCharType="separate"/>
        </w:r>
        <w:r w:rsidR="001F65B1">
          <w:rPr>
            <w:rFonts w:ascii="Arial" w:hAnsi="Arial" w:cs="Arial"/>
            <w:noProof/>
            <w:sz w:val="16"/>
            <w:szCs w:val="16"/>
          </w:rPr>
          <w:t>4</w:t>
        </w:r>
        <w:r w:rsidRPr="00D6173D">
          <w:rPr>
            <w:rFonts w:ascii="Arial" w:hAnsi="Arial" w:cs="Arial"/>
            <w:sz w:val="16"/>
            <w:szCs w:val="1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B1" w:rsidRDefault="001F65B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4F5"/>
    <w:multiLevelType w:val="hybridMultilevel"/>
    <w:tmpl w:val="77D822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4453ECF"/>
    <w:multiLevelType w:val="hybridMultilevel"/>
    <w:tmpl w:val="8EC6DD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84536A"/>
    <w:multiLevelType w:val="hybridMultilevel"/>
    <w:tmpl w:val="7DA811F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DE45E9C"/>
    <w:multiLevelType w:val="hybridMultilevel"/>
    <w:tmpl w:val="FF5867D8"/>
    <w:lvl w:ilvl="0" w:tplc="40986FB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667141B8"/>
    <w:multiLevelType w:val="hybridMultilevel"/>
    <w:tmpl w:val="959E5CC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E60310A"/>
    <w:multiLevelType w:val="hybridMultilevel"/>
    <w:tmpl w:val="7D9EB6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20"/>
    <w:rsid w:val="000A3F3E"/>
    <w:rsid w:val="001A0955"/>
    <w:rsid w:val="001C4F5C"/>
    <w:rsid w:val="001F65B1"/>
    <w:rsid w:val="00220EC5"/>
    <w:rsid w:val="00466C29"/>
    <w:rsid w:val="004A3D53"/>
    <w:rsid w:val="004D5620"/>
    <w:rsid w:val="004E712B"/>
    <w:rsid w:val="00527886"/>
    <w:rsid w:val="008C5E72"/>
    <w:rsid w:val="008E535F"/>
    <w:rsid w:val="00AA439D"/>
    <w:rsid w:val="00AB7D03"/>
    <w:rsid w:val="00B6027F"/>
    <w:rsid w:val="00EA3EFB"/>
    <w:rsid w:val="00FC5C47"/>
    <w:rsid w:val="00FE0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5E72"/>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D5620"/>
    <w:pPr>
      <w:spacing w:after="0" w:line="240" w:lineRule="auto"/>
    </w:pPr>
    <w:rPr>
      <w:rFonts w:ascii="Times New Roman" w:eastAsia="MS Mincho"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uiPriority w:val="99"/>
    <w:semiHidden/>
    <w:unhideWhenUsed/>
    <w:rsid w:val="00FC5C47"/>
    <w:rPr>
      <w:rFonts w:ascii="Tahoma" w:hAnsi="Tahoma" w:cs="Tahoma"/>
      <w:sz w:val="16"/>
      <w:szCs w:val="16"/>
    </w:rPr>
  </w:style>
  <w:style w:type="character" w:customStyle="1" w:styleId="BallontekstChar">
    <w:name w:val="Ballontekst Char"/>
    <w:basedOn w:val="Standaardalinea-lettertype"/>
    <w:link w:val="Ballontekst"/>
    <w:uiPriority w:val="99"/>
    <w:semiHidden/>
    <w:rsid w:val="00FC5C47"/>
    <w:rPr>
      <w:rFonts w:ascii="Tahoma" w:eastAsia="Calibri" w:hAnsi="Tahoma" w:cs="Tahoma"/>
      <w:sz w:val="16"/>
      <w:szCs w:val="16"/>
    </w:rPr>
  </w:style>
  <w:style w:type="table" w:customStyle="1" w:styleId="Tabelraster1">
    <w:name w:val="Tabelraster1"/>
    <w:basedOn w:val="Standaardtabel"/>
    <w:next w:val="Tabelraster"/>
    <w:rsid w:val="00AB7D03"/>
    <w:pPr>
      <w:spacing w:after="0" w:line="240" w:lineRule="auto"/>
    </w:pPr>
    <w:rPr>
      <w:rFonts w:ascii="Times New Roman" w:eastAsia="MS Mincho"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erwijzingopmerking">
    <w:name w:val="annotation reference"/>
    <w:basedOn w:val="Standaardalinea-lettertype"/>
    <w:uiPriority w:val="99"/>
    <w:rsid w:val="00AB7D03"/>
    <w:rPr>
      <w:sz w:val="16"/>
      <w:szCs w:val="16"/>
    </w:rPr>
  </w:style>
  <w:style w:type="paragraph" w:styleId="Tekstopmerking">
    <w:name w:val="annotation text"/>
    <w:basedOn w:val="Standaard"/>
    <w:link w:val="TekstopmerkingChar"/>
    <w:uiPriority w:val="99"/>
    <w:rsid w:val="00AB7D03"/>
    <w:pPr>
      <w:suppressAutoHyphens/>
      <w:jc w:val="both"/>
    </w:pPr>
    <w:rPr>
      <w:rFonts w:ascii="QuadraatSans-Regular" w:eastAsia="MS Mincho" w:hAnsi="QuadraatSans-Regular"/>
      <w:sz w:val="20"/>
      <w:szCs w:val="20"/>
      <w:lang w:eastAsia="nl-NL"/>
    </w:rPr>
  </w:style>
  <w:style w:type="character" w:customStyle="1" w:styleId="TekstopmerkingChar">
    <w:name w:val="Tekst opmerking Char"/>
    <w:basedOn w:val="Standaardalinea-lettertype"/>
    <w:link w:val="Tekstopmerking"/>
    <w:uiPriority w:val="99"/>
    <w:rsid w:val="00AB7D03"/>
    <w:rPr>
      <w:rFonts w:ascii="QuadraatSans-Regular" w:eastAsia="MS Mincho" w:hAnsi="QuadraatSans-Regular" w:cs="Times New Roman"/>
      <w:sz w:val="20"/>
      <w:szCs w:val="20"/>
      <w:lang w:eastAsia="nl-NL"/>
    </w:rPr>
  </w:style>
  <w:style w:type="paragraph" w:styleId="Koptekst">
    <w:name w:val="header"/>
    <w:basedOn w:val="Standaard"/>
    <w:link w:val="KoptekstChar"/>
    <w:uiPriority w:val="99"/>
    <w:unhideWhenUsed/>
    <w:rsid w:val="00B6027F"/>
    <w:pPr>
      <w:tabs>
        <w:tab w:val="center" w:pos="4536"/>
        <w:tab w:val="right" w:pos="9072"/>
      </w:tabs>
    </w:pPr>
  </w:style>
  <w:style w:type="character" w:customStyle="1" w:styleId="KoptekstChar">
    <w:name w:val="Koptekst Char"/>
    <w:basedOn w:val="Standaardalinea-lettertype"/>
    <w:link w:val="Koptekst"/>
    <w:uiPriority w:val="99"/>
    <w:rsid w:val="00B6027F"/>
    <w:rPr>
      <w:rFonts w:ascii="Calibri" w:eastAsia="Calibri" w:hAnsi="Calibri" w:cs="Times New Roman"/>
    </w:rPr>
  </w:style>
  <w:style w:type="paragraph" w:styleId="Voettekst">
    <w:name w:val="footer"/>
    <w:basedOn w:val="Standaard"/>
    <w:link w:val="VoettekstChar"/>
    <w:uiPriority w:val="99"/>
    <w:unhideWhenUsed/>
    <w:rsid w:val="00B6027F"/>
    <w:pPr>
      <w:tabs>
        <w:tab w:val="center" w:pos="4536"/>
        <w:tab w:val="right" w:pos="9072"/>
      </w:tabs>
    </w:pPr>
  </w:style>
  <w:style w:type="character" w:customStyle="1" w:styleId="VoettekstChar">
    <w:name w:val="Voettekst Char"/>
    <w:basedOn w:val="Standaardalinea-lettertype"/>
    <w:link w:val="Voettekst"/>
    <w:uiPriority w:val="99"/>
    <w:rsid w:val="00B6027F"/>
    <w:rPr>
      <w:rFonts w:ascii="Calibri" w:eastAsia="Calibri" w:hAnsi="Calibri" w:cs="Times New Roman"/>
    </w:rPr>
  </w:style>
  <w:style w:type="paragraph" w:styleId="Lijstalinea">
    <w:name w:val="List Paragraph"/>
    <w:aliases w:val="Lijstpunt"/>
    <w:basedOn w:val="Standaard"/>
    <w:uiPriority w:val="34"/>
    <w:qFormat/>
    <w:rsid w:val="001C4F5C"/>
    <w:pPr>
      <w:spacing w:after="160" w:line="259" w:lineRule="auto"/>
      <w:ind w:left="720"/>
      <w:contextualSpacing/>
    </w:pPr>
    <w:rPr>
      <w:rFonts w:asciiTheme="minorHAnsi" w:eastAsiaTheme="minorHAnsi" w:hAnsiTheme="minorHAnsi" w:cstheme="minorBidi"/>
      <w:kern w:val="2"/>
      <w14:ligatures w14:val="standardContextual"/>
    </w:rPr>
  </w:style>
  <w:style w:type="paragraph" w:customStyle="1" w:styleId="bodytext">
    <w:name w:val="bodytext"/>
    <w:basedOn w:val="Standaard"/>
    <w:rsid w:val="001C4F5C"/>
    <w:pPr>
      <w:spacing w:before="30" w:after="30" w:line="225" w:lineRule="atLeast"/>
      <w:ind w:left="30" w:right="30"/>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6940</Characters>
  <Application>Microsoft Office Word</Application>
  <DocSecurity>0</DocSecurity>
  <Lines>57</Lines>
  <Paragraphs>16</Paragraphs>
  <ScaleCrop>false</ScaleCrop>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2025-08-28T12:58:00Z</dcterms:created>
  <dcterms:modified xsi:type="dcterms:W3CDTF">2025-08-28T12:58:00Z</dcterms:modified>
</cp:coreProperties>
</file>