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</w:rPr>
        <w:id w:val="-82756802"/>
        <w:docPartObj>
          <w:docPartGallery w:val="Table of Contents"/>
          <w:docPartUnique/>
        </w:docPartObj>
      </w:sdtPr>
      <w:sdtEndPr/>
      <w:sdtContent>
        <w:p w14:paraId="5F3FDD31" w14:textId="04F0BAA0" w:rsidR="002B7C15" w:rsidRPr="00524EC7" w:rsidRDefault="002B7C15" w:rsidP="00F4000E">
          <w:pPr>
            <w:pStyle w:val="Kopvaninhoudsopgave"/>
            <w:outlineLvl w:val="9"/>
          </w:pPr>
          <w:r w:rsidRPr="002B7C15">
            <w:t>Errata</w:t>
          </w:r>
          <w:r w:rsidRPr="00524EC7">
            <w:t xml:space="preserve"> </w:t>
          </w:r>
          <w:r w:rsidRPr="002B7C15">
            <w:t>havo</w:t>
          </w:r>
          <w:r w:rsidRPr="00524EC7">
            <w:t xml:space="preserve"> 202</w:t>
          </w:r>
          <w:r w:rsidR="001436BE">
            <w:t>5</w:t>
          </w:r>
          <w:r w:rsidRPr="00524EC7">
            <w:t>-202</w:t>
          </w:r>
          <w:r w:rsidR="001436BE">
            <w:t>6</w:t>
          </w:r>
          <w:bookmarkStart w:id="0" w:name="_GoBack"/>
          <w:bookmarkEnd w:id="0"/>
        </w:p>
        <w:p w14:paraId="4AD54FF8" w14:textId="77777777" w:rsidR="002B7C15" w:rsidRPr="00F4000E" w:rsidRDefault="002B7C15" w:rsidP="002B7C15">
          <w:pPr>
            <w:pStyle w:val="Kopvaninhoudsopgave"/>
            <w:outlineLvl w:val="9"/>
            <w:rPr>
              <w:b w:val="0"/>
            </w:rPr>
          </w:pPr>
        </w:p>
        <w:p w14:paraId="070E873C" w14:textId="4864D4AD" w:rsidR="002B7C15" w:rsidRDefault="002B7C15" w:rsidP="002B7C15">
          <w:pPr>
            <w:pStyle w:val="Kopvaninhoudsopgave"/>
            <w:outlineLvl w:val="9"/>
          </w:pPr>
          <w:r>
            <w:t>Inhoud</w:t>
          </w:r>
        </w:p>
        <w:p w14:paraId="7FB611B7" w14:textId="77777777" w:rsidR="00912D46" w:rsidRDefault="002B7C15">
          <w:pPr>
            <w:pStyle w:val="Inhopg2"/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8219490" w:history="1">
            <w:r w:rsidR="00912D46" w:rsidRPr="00D91C6B">
              <w:rPr>
                <w:rStyle w:val="Hyperlink"/>
                <w:noProof/>
              </w:rPr>
              <w:t>Lesbrief Ongelijkheid 2</w:t>
            </w:r>
            <w:r w:rsidR="00912D46" w:rsidRPr="00D91C6B">
              <w:rPr>
                <w:rStyle w:val="Hyperlink"/>
                <w:noProof/>
                <w:vertAlign w:val="superscript"/>
              </w:rPr>
              <w:t>e</w:t>
            </w:r>
            <w:r w:rsidR="00912D46" w:rsidRPr="00D91C6B">
              <w:rPr>
                <w:rStyle w:val="Hyperlink"/>
                <w:noProof/>
              </w:rPr>
              <w:t xml:space="preserve"> druk</w:t>
            </w:r>
            <w:r w:rsidR="00912D46">
              <w:rPr>
                <w:noProof/>
                <w:webHidden/>
              </w:rPr>
              <w:tab/>
            </w:r>
            <w:r w:rsidR="00912D46">
              <w:rPr>
                <w:noProof/>
                <w:webHidden/>
              </w:rPr>
              <w:fldChar w:fldCharType="begin"/>
            </w:r>
            <w:r w:rsidR="00912D46">
              <w:rPr>
                <w:noProof/>
                <w:webHidden/>
              </w:rPr>
              <w:instrText xml:space="preserve"> PAGEREF _Toc208219490 \h </w:instrText>
            </w:r>
            <w:r w:rsidR="00912D46">
              <w:rPr>
                <w:noProof/>
                <w:webHidden/>
              </w:rPr>
            </w:r>
            <w:r w:rsidR="00912D46">
              <w:rPr>
                <w:noProof/>
                <w:webHidden/>
              </w:rPr>
              <w:fldChar w:fldCharType="separate"/>
            </w:r>
            <w:r w:rsidR="00912D46">
              <w:rPr>
                <w:noProof/>
                <w:webHidden/>
              </w:rPr>
              <w:t>1</w:t>
            </w:r>
            <w:r w:rsidR="00912D46">
              <w:rPr>
                <w:noProof/>
                <w:webHidden/>
              </w:rPr>
              <w:fldChar w:fldCharType="end"/>
            </w:r>
          </w:hyperlink>
        </w:p>
        <w:p w14:paraId="06D29FE8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1" w:history="1">
            <w:r w:rsidRPr="00D91C6B">
              <w:rPr>
                <w:rStyle w:val="Hyperlink"/>
                <w:noProof/>
              </w:rPr>
              <w:t>Uitwerkingen Conjunctuur 2e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D35A9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2" w:history="1">
            <w:r w:rsidRPr="00D91C6B">
              <w:rPr>
                <w:rStyle w:val="Hyperlink"/>
                <w:noProof/>
              </w:rPr>
              <w:t>Lesbrief Vragers en Aanbieders 1e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07EF2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3" w:history="1">
            <w:r w:rsidRPr="00D91C6B">
              <w:rPr>
                <w:rStyle w:val="Hyperlink"/>
                <w:noProof/>
              </w:rPr>
              <w:t>Lesbrief Europa 4</w:t>
            </w:r>
            <w:r w:rsidRPr="00D91C6B">
              <w:rPr>
                <w:rStyle w:val="Hyperlink"/>
                <w:noProof/>
                <w:vertAlign w:val="superscript"/>
              </w:rPr>
              <w:t>e</w:t>
            </w:r>
            <w:r w:rsidRPr="00D91C6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2C8A1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4" w:history="1">
            <w:r w:rsidRPr="00D91C6B">
              <w:rPr>
                <w:rStyle w:val="Hyperlink"/>
                <w:noProof/>
              </w:rPr>
              <w:t>Lesbrief Jong en Oud 6</w:t>
            </w:r>
            <w:r w:rsidRPr="00D91C6B">
              <w:rPr>
                <w:rStyle w:val="Hyperlink"/>
                <w:noProof/>
                <w:vertAlign w:val="superscript"/>
              </w:rPr>
              <w:t>e</w:t>
            </w:r>
            <w:r w:rsidRPr="00D91C6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7A39B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5" w:history="1">
            <w:r w:rsidRPr="00D91C6B">
              <w:rPr>
                <w:rStyle w:val="Hyperlink"/>
                <w:noProof/>
              </w:rPr>
              <w:t>Docentenhandleiding Antwoorden zelftest Jong en 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C36FE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6" w:history="1">
            <w:r w:rsidRPr="00D91C6B">
              <w:rPr>
                <w:rStyle w:val="Hyperlink"/>
                <w:noProof/>
              </w:rPr>
              <w:t>Lesbrief Markt en Overheid 6</w:t>
            </w:r>
            <w:r w:rsidRPr="00D91C6B">
              <w:rPr>
                <w:rStyle w:val="Hyperlink"/>
                <w:noProof/>
                <w:vertAlign w:val="superscript"/>
              </w:rPr>
              <w:t>e</w:t>
            </w:r>
            <w:r w:rsidRPr="00D91C6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68544" w14:textId="77777777" w:rsidR="00912D46" w:rsidRDefault="00912D46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208219497" w:history="1">
            <w:r w:rsidRPr="00D91C6B">
              <w:rPr>
                <w:rStyle w:val="Hyperlink"/>
                <w:noProof/>
              </w:rPr>
              <w:t>Uitwerkingen Markt en Overheid 6</w:t>
            </w:r>
            <w:r w:rsidRPr="00D91C6B">
              <w:rPr>
                <w:rStyle w:val="Hyperlink"/>
                <w:noProof/>
                <w:vertAlign w:val="superscript"/>
              </w:rPr>
              <w:t>e</w:t>
            </w:r>
            <w:r w:rsidRPr="00D91C6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_Toc208219497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6C21E" w14:textId="7D241700" w:rsidR="002B7C15" w:rsidRDefault="002B7C15">
          <w:r>
            <w:rPr>
              <w:b/>
              <w:bCs/>
            </w:rPr>
            <w:fldChar w:fldCharType="end"/>
          </w:r>
        </w:p>
      </w:sdtContent>
    </w:sdt>
    <w:p w14:paraId="7FE30120" w14:textId="77777777" w:rsidR="00753B57" w:rsidRPr="00753B57" w:rsidRDefault="00753B57" w:rsidP="00753B57">
      <w:pPr>
        <w:pStyle w:val="Kop2"/>
      </w:pPr>
      <w:bookmarkStart w:id="1" w:name="_Toc208219490"/>
      <w:r w:rsidRPr="00753B57">
        <w:t>Lesbrief Ongelijkheid 2</w:t>
      </w:r>
      <w:r w:rsidRPr="00753B57">
        <w:rPr>
          <w:vertAlign w:val="superscript"/>
        </w:rPr>
        <w:t>e</w:t>
      </w:r>
      <w:r w:rsidRPr="00753B57">
        <w:t xml:space="preserve"> druk</w:t>
      </w:r>
      <w:bookmarkEnd w:id="1"/>
    </w:p>
    <w:p w14:paraId="38FD63E7" w14:textId="134B84A4" w:rsidR="00753B57" w:rsidRDefault="00753B57" w:rsidP="003A5DC9">
      <w:r w:rsidRPr="00753B57">
        <w:t xml:space="preserve">Op blz. 27 </w:t>
      </w:r>
      <w:r w:rsidR="00912D46">
        <w:t>moet</w:t>
      </w:r>
      <w:r w:rsidRPr="00753B57">
        <w:t xml:space="preserve"> opdracht 3.1 zijn: In de sector Onderwijs en Zorg is er een duidelijke relatie tussen opleidingsniveau en inkomen. Licht dit voor beide sectoren toe met een voorbeeld.</w:t>
      </w:r>
    </w:p>
    <w:p w14:paraId="24256F31" w14:textId="77777777" w:rsidR="006E7A4C" w:rsidRDefault="006E7A4C" w:rsidP="003A5DC9"/>
    <w:p w14:paraId="4289223F" w14:textId="6227FAD6" w:rsidR="006E7A4C" w:rsidRDefault="006E7A4C" w:rsidP="006E7A4C">
      <w:pPr>
        <w:pStyle w:val="Kop2"/>
      </w:pPr>
      <w:bookmarkStart w:id="2" w:name="_Toc208219491"/>
      <w:r>
        <w:t>Uitwerkingen Conjunctuur 2</w:t>
      </w:r>
      <w:r w:rsidRPr="006E7A4C">
        <w:t>e</w:t>
      </w:r>
      <w:r>
        <w:t xml:space="preserve"> druk</w:t>
      </w:r>
      <w:bookmarkEnd w:id="2"/>
    </w:p>
    <w:p w14:paraId="5E2381B5" w14:textId="5C297EBB" w:rsidR="006E7A4C" w:rsidRDefault="006E7A4C" w:rsidP="006E7A4C">
      <w:r>
        <w:t xml:space="preserve">Op blz. 8 </w:t>
      </w:r>
      <w:r w:rsidR="00912D46">
        <w:t>moet</w:t>
      </w:r>
      <w:r>
        <w:t xml:space="preserve"> </w:t>
      </w:r>
      <w:r w:rsidR="00912D46">
        <w:t xml:space="preserve">het antwoord op </w:t>
      </w:r>
      <w:r>
        <w:t xml:space="preserve">opdracht 4.4 b zijn: 800 miljard / 50.000 = 16 miljoen arbeiders. </w:t>
      </w:r>
    </w:p>
    <w:p w14:paraId="5F7E5EC8" w14:textId="00587267" w:rsidR="002A3271" w:rsidRDefault="006E7A4C" w:rsidP="006E7A4C">
      <w:r>
        <w:t xml:space="preserve">Op </w:t>
      </w:r>
      <w:proofErr w:type="spellStart"/>
      <w:r>
        <w:t>blz</w:t>
      </w:r>
      <w:proofErr w:type="spellEnd"/>
      <w:r>
        <w:t xml:space="preserve"> 9 </w:t>
      </w:r>
      <w:r w:rsidR="00912D46">
        <w:t>moet</w:t>
      </w:r>
      <w:r>
        <w:t xml:space="preserve"> </w:t>
      </w:r>
      <w:r w:rsidR="00912D46">
        <w:t xml:space="preserve">het antwoord op </w:t>
      </w:r>
      <w:r>
        <w:t>opdracht 4.4 c zijn</w:t>
      </w:r>
      <w:r w:rsidR="00912D46">
        <w:t>:</w:t>
      </w:r>
      <w:r>
        <w:t xml:space="preserve"> 16 + 6 = 22 miljoen arbeiders.</w:t>
      </w:r>
    </w:p>
    <w:p w14:paraId="15556BA9" w14:textId="77777777" w:rsidR="002A3271" w:rsidRDefault="002A3271" w:rsidP="006E7A4C"/>
    <w:p w14:paraId="686CA000" w14:textId="747EE4C8" w:rsidR="006E7A4C" w:rsidRDefault="002A3271" w:rsidP="002A3271">
      <w:pPr>
        <w:pStyle w:val="Kop2"/>
      </w:pPr>
      <w:bookmarkStart w:id="3" w:name="_Toc208219492"/>
      <w:r>
        <w:t>Lesbrief Vragers en Aanbieders 1</w:t>
      </w:r>
      <w:r w:rsidRPr="002A3271">
        <w:t>e</w:t>
      </w:r>
      <w:r>
        <w:t xml:space="preserve"> druk</w:t>
      </w:r>
      <w:bookmarkEnd w:id="3"/>
      <w:r w:rsidR="006E7A4C">
        <w:t xml:space="preserve"> </w:t>
      </w:r>
    </w:p>
    <w:p w14:paraId="57AD59EF" w14:textId="16DBD293" w:rsidR="002A3271" w:rsidRDefault="002A3271" w:rsidP="002A3271">
      <w:r>
        <w:t xml:space="preserve">Op </w:t>
      </w:r>
      <w:proofErr w:type="spellStart"/>
      <w:r>
        <w:t>blz</w:t>
      </w:r>
      <w:proofErr w:type="spellEnd"/>
      <w:r>
        <w:t xml:space="preserve"> 72 en 73 </w:t>
      </w:r>
      <w:r w:rsidR="00912D46">
        <w:t>moet</w:t>
      </w:r>
      <w:r>
        <w:t xml:space="preserve"> </w:t>
      </w:r>
      <w:r w:rsidR="00912D46">
        <w:t xml:space="preserve">het </w:t>
      </w:r>
      <w:r>
        <w:t>stukje tekst over elasticiteit van de vraag</w:t>
      </w:r>
      <w:r w:rsidR="00912D46">
        <w:t xml:space="preserve"> luiden</w:t>
      </w:r>
      <w:r>
        <w:t>:</w:t>
      </w:r>
    </w:p>
    <w:p w14:paraId="5F3B2E5C" w14:textId="77777777" w:rsidR="002A3271" w:rsidRDefault="002A3271" w:rsidP="002A3271">
      <w:pPr>
        <w:ind w:left="284" w:hanging="284"/>
      </w:pPr>
      <w:r>
        <w:t>1.</w:t>
      </w:r>
      <w:r>
        <w:tab/>
      </w:r>
      <w:bookmarkStart w:id="4" w:name="_Hlk58351088"/>
      <w:r>
        <w:t xml:space="preserve">De </w:t>
      </w:r>
      <w:proofErr w:type="spellStart"/>
      <w:r>
        <w:t>Ev</w:t>
      </w:r>
      <w:proofErr w:type="spellEnd"/>
      <w:r>
        <w:t xml:space="preserve"> kan liggen tussen -1 en 0</w:t>
      </w:r>
      <w:bookmarkEnd w:id="4"/>
      <w:r>
        <w:t xml:space="preserve">. De vraag is dan </w:t>
      </w:r>
      <w:proofErr w:type="spellStart"/>
      <w:r>
        <w:t>inelastisch</w:t>
      </w:r>
      <w:proofErr w:type="spellEnd"/>
      <w:r>
        <w:t>. De procentuele verandering van de vraag is dan kleiner dan de procentuele verandering van de prijs. Bijvoorbeeld: een prijsstijging van 20% leidt tot een vraagdaling van 10%.</w:t>
      </w:r>
    </w:p>
    <w:p w14:paraId="7C6E7462" w14:textId="77777777" w:rsidR="002A3271" w:rsidRDefault="002A3271" w:rsidP="002A3271">
      <w:pPr>
        <w:ind w:left="284" w:hanging="284"/>
      </w:pPr>
      <w:r>
        <w:t>2.</w:t>
      </w:r>
      <w:r>
        <w:tab/>
        <w:t xml:space="preserve">De </w:t>
      </w:r>
      <w:proofErr w:type="spellStart"/>
      <w:r>
        <w:t>Ev</w:t>
      </w:r>
      <w:proofErr w:type="spellEnd"/>
      <w:r>
        <w:t xml:space="preserve"> is nul. De vraag reageert helemaal niet op een prijsverandering. We spreken dan van een 'volkomen' </w:t>
      </w:r>
      <w:proofErr w:type="spellStart"/>
      <w:r>
        <w:t>inelastische</w:t>
      </w:r>
      <w:proofErr w:type="spellEnd"/>
      <w:r>
        <w:t xml:space="preserve"> vraag. De vraag naar medicijnen is daarvan een voorbeeld. Medicijnen heb je in elk geval nodig. Een verdubbeling van de prijs zal dan geen effect hebben op de vraag naar medicijnen.</w:t>
      </w:r>
    </w:p>
    <w:p w14:paraId="3473C232" w14:textId="77777777" w:rsidR="002A3271" w:rsidRDefault="002A3271" w:rsidP="002A3271">
      <w:pPr>
        <w:ind w:left="284" w:hanging="284"/>
      </w:pPr>
      <w:r>
        <w:t>3.</w:t>
      </w:r>
      <w:r>
        <w:tab/>
        <w:t xml:space="preserve">De </w:t>
      </w:r>
      <w:proofErr w:type="spellStart"/>
      <w:r>
        <w:t>Ev</w:t>
      </w:r>
      <w:proofErr w:type="spellEnd"/>
      <w:r>
        <w:t xml:space="preserve"> kan kleiner zijn dan -1. De vraag is dan elastisch. De procentuele verandering van de vraag is in dit geval groter dan de procentuele verandering van de prijs.</w:t>
      </w:r>
    </w:p>
    <w:p w14:paraId="005812B1" w14:textId="04895E60" w:rsidR="002A3271" w:rsidRDefault="002A3271" w:rsidP="001436BE">
      <w:pPr>
        <w:ind w:left="284" w:hanging="284"/>
      </w:pPr>
      <w:r>
        <w:t>4.</w:t>
      </w:r>
      <w:r>
        <w:tab/>
        <w:t xml:space="preserve">De </w:t>
      </w:r>
      <w:proofErr w:type="spellStart"/>
      <w:r>
        <w:t>Ev</w:t>
      </w:r>
      <w:proofErr w:type="spellEnd"/>
      <w:r>
        <w:t xml:space="preserve"> </w:t>
      </w:r>
      <w:proofErr w:type="spellStart"/>
      <w:r>
        <w:t>isprecies</w:t>
      </w:r>
      <w:proofErr w:type="spellEnd"/>
      <w:r>
        <w:t xml:space="preserve"> -1. De procentuele verandering van de vraag is gelijk aan de procentuele prijsverandering. We spreken dan niet van een elastische of </w:t>
      </w:r>
      <w:proofErr w:type="spellStart"/>
      <w:r>
        <w:t>inelastische</w:t>
      </w:r>
      <w:proofErr w:type="spellEnd"/>
      <w:r>
        <w:t xml:space="preserve"> vraag.</w:t>
      </w:r>
    </w:p>
    <w:p w14:paraId="1C6F7E95" w14:textId="77777777" w:rsidR="001436BE" w:rsidRDefault="001436BE" w:rsidP="001436BE">
      <w:pPr>
        <w:ind w:left="284" w:hanging="284"/>
      </w:pPr>
    </w:p>
    <w:p w14:paraId="182CDB64" w14:textId="77777777" w:rsidR="00591519" w:rsidRPr="00FF1D2D" w:rsidRDefault="00591519" w:rsidP="00FF1D2D">
      <w:pPr>
        <w:pStyle w:val="Kop2"/>
      </w:pPr>
      <w:bookmarkStart w:id="5" w:name="_Toc208219493"/>
      <w:r w:rsidRPr="00FF1D2D">
        <w:t>Lesbrief Europa 4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5"/>
    </w:p>
    <w:p w14:paraId="7B1C7B5D" w14:textId="37A48457" w:rsidR="008A14DE" w:rsidRDefault="00591519" w:rsidP="00FF1D2D">
      <w:r>
        <w:t xml:space="preserve">Op blz. 29 </w:t>
      </w:r>
      <w:r w:rsidR="00FF1D2D">
        <w:t>moet</w:t>
      </w:r>
      <w:r>
        <w:t xml:space="preserve"> opgave 3.4 </w:t>
      </w:r>
      <w:r w:rsidR="00FF1D2D">
        <w:t xml:space="preserve">worden </w:t>
      </w:r>
      <w:r>
        <w:t>wegge</w:t>
      </w:r>
      <w:r w:rsidR="00FF1D2D">
        <w:t>laten</w:t>
      </w:r>
      <w:r w:rsidR="00912D46">
        <w:t xml:space="preserve"> wanneer Verdienen en Uitgeven nog niet behandeld is</w:t>
      </w:r>
      <w:r>
        <w:t xml:space="preserve">. De conjunctuur is hier nog niet behandeld. Op </w:t>
      </w:r>
      <w:proofErr w:type="spellStart"/>
      <w:r>
        <w:t>blz</w:t>
      </w:r>
      <w:proofErr w:type="spellEnd"/>
      <w:r>
        <w:t xml:space="preserve"> 30 </w:t>
      </w:r>
      <w:r w:rsidR="00FF1D2D">
        <w:t>moet</w:t>
      </w:r>
      <w:r>
        <w:t xml:space="preserve"> </w:t>
      </w:r>
      <w:r w:rsidR="00912D46">
        <w:t xml:space="preserve">in hetzelfde geval </w:t>
      </w:r>
      <w:r>
        <w:t>opgave</w:t>
      </w:r>
      <w:r w:rsidR="00FF1D2D">
        <w:t xml:space="preserve"> </w:t>
      </w:r>
      <w:r>
        <w:t xml:space="preserve">3.5 </w:t>
      </w:r>
      <w:r w:rsidR="00FF1D2D">
        <w:t>b worden weggelaten om dezelfde reden.</w:t>
      </w:r>
    </w:p>
    <w:p w14:paraId="39EE7616" w14:textId="77777777" w:rsidR="008A14DE" w:rsidRDefault="008A14DE" w:rsidP="001436BE">
      <w:pPr>
        <w:ind w:left="284" w:hanging="284"/>
      </w:pPr>
    </w:p>
    <w:p w14:paraId="0F3F80C7" w14:textId="5335EBC9" w:rsidR="00BE5C6B" w:rsidRPr="00FF1D2D" w:rsidRDefault="008A14DE" w:rsidP="00FF1D2D">
      <w:pPr>
        <w:pStyle w:val="Kop2"/>
      </w:pPr>
      <w:bookmarkStart w:id="6" w:name="_Toc208219494"/>
      <w:r w:rsidRPr="00FF1D2D">
        <w:t>Lesbrief Jong en Oud 6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6"/>
    </w:p>
    <w:p w14:paraId="0B26146B" w14:textId="2B9CB00B" w:rsidR="008A14DE" w:rsidRDefault="008A14DE" w:rsidP="001436BE">
      <w:pPr>
        <w:ind w:left="284" w:hanging="284"/>
      </w:pPr>
      <w:r>
        <w:t xml:space="preserve">Op blz. 23 bij 3.13 </w:t>
      </w:r>
      <w:r w:rsidR="00FF1D2D">
        <w:t>f moet 35,48% 35,82% zijn.</w:t>
      </w:r>
    </w:p>
    <w:p w14:paraId="6604FA3A" w14:textId="77777777" w:rsidR="006E3D32" w:rsidRDefault="006E3D32" w:rsidP="001436BE">
      <w:pPr>
        <w:ind w:left="284" w:hanging="284"/>
      </w:pPr>
    </w:p>
    <w:p w14:paraId="03BEC79E" w14:textId="112841C2" w:rsidR="006E3D32" w:rsidRPr="00FF1D2D" w:rsidRDefault="00C66AA5" w:rsidP="00FF1D2D">
      <w:pPr>
        <w:pStyle w:val="Kop2"/>
      </w:pPr>
      <w:bookmarkStart w:id="7" w:name="_Toc208219495"/>
      <w:r w:rsidRPr="00FF1D2D">
        <w:t>Docentenhandleiding Antwoorden zelftest Jong en oud</w:t>
      </w:r>
      <w:bookmarkEnd w:id="7"/>
    </w:p>
    <w:p w14:paraId="6E2B7DF1" w14:textId="217C8EBE" w:rsidR="00C66AA5" w:rsidRDefault="006A25CA" w:rsidP="001436BE">
      <w:pPr>
        <w:ind w:left="284" w:hanging="284"/>
      </w:pPr>
      <w:r>
        <w:t>Bij Hoofdstuk 3 opgave 3.13 moet staan bij b (tweede gedeelte van het antwoord):</w:t>
      </w:r>
    </w:p>
    <w:p w14:paraId="078DAC2B" w14:textId="77777777" w:rsidR="006A25CA" w:rsidRPr="006D0E7E" w:rsidRDefault="006A25CA" w:rsidP="00FF1D2D">
      <w:r w:rsidRPr="006D0E7E">
        <w:t xml:space="preserve">Dus er vindt een correctie plaats van </w:t>
      </w:r>
      <w:r>
        <w:t>12</w:t>
      </w:r>
      <w:r w:rsidRPr="006D0E7E">
        <w:t xml:space="preserve">,02% van (80.000 </w:t>
      </w:r>
      <w:r w:rsidRPr="006D0E7E">
        <w:sym w:font="Symbol" w:char="F02D"/>
      </w:r>
      <w:r w:rsidRPr="006D0E7E">
        <w:t xml:space="preserve"> 76.817). Dat is € </w:t>
      </w:r>
      <w:r>
        <w:t>383</w:t>
      </w:r>
      <w:r w:rsidRPr="006D0E7E">
        <w:t xml:space="preserve">. Vervolgens mogen de heffingskortingen er nog vanaf gehaald worden. </w:t>
      </w:r>
    </w:p>
    <w:p w14:paraId="047D0768" w14:textId="6112A3DE" w:rsidR="006A25CA" w:rsidRDefault="006A25CA" w:rsidP="006A25CA">
      <w:pPr>
        <w:ind w:left="284" w:hanging="284"/>
      </w:pPr>
      <w:r w:rsidRPr="006D0E7E">
        <w:t xml:space="preserve">Hij betaalt: 13.769 + 11.078 + </w:t>
      </w:r>
      <w:r>
        <w:t>383</w:t>
      </w:r>
      <w:r w:rsidRPr="006D0E7E">
        <w:t xml:space="preserve"> </w:t>
      </w:r>
      <w:r w:rsidRPr="006D0E7E">
        <w:sym w:font="Symbol" w:char="F02D"/>
      </w:r>
      <w:r w:rsidRPr="006D0E7E">
        <w:t xml:space="preserve"> 5.900 = € 19.</w:t>
      </w:r>
      <w:r>
        <w:t>330</w:t>
      </w:r>
      <w:r w:rsidRPr="006D0E7E">
        <w:t xml:space="preserve"> belasting.</w:t>
      </w:r>
    </w:p>
    <w:p w14:paraId="0CFB74D8" w14:textId="0198574B" w:rsidR="006A25CA" w:rsidRDefault="006A25CA" w:rsidP="006A25CA">
      <w:pPr>
        <w:ind w:left="284" w:hanging="284"/>
      </w:pPr>
      <w:r>
        <w:t>Bij c:</w:t>
      </w:r>
    </w:p>
    <w:p w14:paraId="5D0B513C" w14:textId="5D31CB94" w:rsidR="006A25CA" w:rsidRDefault="006A25CA" w:rsidP="006A25CA">
      <w:pPr>
        <w:ind w:left="284" w:hanging="284"/>
      </w:pPr>
      <w:r w:rsidRPr="006D0E7E">
        <w:t>Gemiddeld tarief = 19.</w:t>
      </w:r>
      <w:r>
        <w:t>330 / </w:t>
      </w:r>
      <w:r w:rsidRPr="006D0E7E">
        <w:t xml:space="preserve">80.000 </w:t>
      </w:r>
      <w:r w:rsidRPr="006D0E7E">
        <w:sym w:font="Symbol" w:char="F0B4"/>
      </w:r>
      <w:r w:rsidRPr="006D0E7E">
        <w:t xml:space="preserve"> 100% = 24</w:t>
      </w:r>
      <w:r>
        <w:t>,2</w:t>
      </w:r>
      <w:r w:rsidRPr="006D0E7E">
        <w:t>%.</w:t>
      </w:r>
    </w:p>
    <w:p w14:paraId="45D33B7D" w14:textId="7E76D591" w:rsidR="006E3D32" w:rsidRPr="00FF1D2D" w:rsidRDefault="006E3D32" w:rsidP="00FF1D2D">
      <w:pPr>
        <w:pStyle w:val="Kop2"/>
      </w:pPr>
      <w:bookmarkStart w:id="8" w:name="_Toc208219496"/>
      <w:r w:rsidRPr="00FF1D2D">
        <w:t>Lesbrief Markt en Overheid 6</w:t>
      </w:r>
      <w:r w:rsidRPr="00FF1D2D">
        <w:rPr>
          <w:vertAlign w:val="superscript"/>
        </w:rPr>
        <w:t>e</w:t>
      </w:r>
      <w:r w:rsidRPr="00FF1D2D">
        <w:t xml:space="preserve"> druk</w:t>
      </w:r>
      <w:bookmarkEnd w:id="8"/>
    </w:p>
    <w:p w14:paraId="33DE3FF2" w14:textId="592B17FB" w:rsidR="00C1560F" w:rsidRDefault="00C1560F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7 moet in de eerste alinea € </w:t>
      </w:r>
      <w:r w:rsidR="00525860">
        <w:t>2 worden aangepast naar € 2,30.</w:t>
      </w:r>
    </w:p>
    <w:p w14:paraId="1CE216C1" w14:textId="77777777" w:rsidR="00491B54" w:rsidRDefault="00491B54" w:rsidP="001436BE">
      <w:pPr>
        <w:ind w:left="284" w:hanging="284"/>
      </w:pPr>
    </w:p>
    <w:p w14:paraId="4A4CBAF6" w14:textId="08FADAC3" w:rsidR="00491B54" w:rsidRDefault="00491B54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8 moet boven e de aanbodlijn worden: </w:t>
      </w:r>
      <w:bookmarkStart w:id="9" w:name="_Hlk184899391"/>
      <w:r>
        <w:t>Qa2 = 2P – 400</w:t>
      </w:r>
      <w:bookmarkEnd w:id="9"/>
    </w:p>
    <w:p w14:paraId="5291F166" w14:textId="77777777" w:rsidR="00C1560F" w:rsidRDefault="00C1560F" w:rsidP="001436BE">
      <w:pPr>
        <w:ind w:left="284" w:hanging="284"/>
      </w:pPr>
    </w:p>
    <w:p w14:paraId="4F2C39A0" w14:textId="3F44EF02" w:rsidR="00960959" w:rsidRDefault="00960959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24 moet boven opgave d staan:</w:t>
      </w:r>
    </w:p>
    <w:p w14:paraId="1E78ED42" w14:textId="77777777" w:rsidR="00960959" w:rsidRDefault="00960959" w:rsidP="001436BE">
      <w:pPr>
        <w:ind w:left="284" w:hanging="284"/>
      </w:pPr>
      <w:r>
        <w:t xml:space="preserve">De marginale opbrengst (MO) bij </w:t>
      </w:r>
      <w:proofErr w:type="spellStart"/>
      <w:r>
        <w:t>Gloves</w:t>
      </w:r>
      <w:proofErr w:type="spellEnd"/>
      <w:r>
        <w:t xml:space="preserve"> NV bedraagt € 90 bij een uitbreiding van de afzet van 0 naar</w:t>
      </w:r>
    </w:p>
    <w:p w14:paraId="207EF20F" w14:textId="2F745F4E" w:rsidR="00960959" w:rsidRDefault="00960959" w:rsidP="001436BE">
      <w:pPr>
        <w:ind w:left="284" w:hanging="284"/>
      </w:pPr>
      <w:r>
        <w:t>25.000 paren handschoenen.</w:t>
      </w:r>
    </w:p>
    <w:p w14:paraId="0964C8D3" w14:textId="77777777" w:rsidR="00960959" w:rsidRDefault="00960959" w:rsidP="001436BE">
      <w:pPr>
        <w:ind w:left="284" w:hanging="284"/>
      </w:pPr>
    </w:p>
    <w:p w14:paraId="6F8D6E0F" w14:textId="03F281A8" w:rsidR="006A25CA" w:rsidRDefault="006E3D32" w:rsidP="001436BE">
      <w:pPr>
        <w:ind w:left="284" w:hanging="284"/>
      </w:pPr>
      <w:r>
        <w:t xml:space="preserve">Op blz. 27 is bij opgave 2.6 c de zin dat bij monopolie het </w:t>
      </w:r>
      <w:proofErr w:type="spellStart"/>
      <w:r>
        <w:t>producentensurplus</w:t>
      </w:r>
      <w:proofErr w:type="spellEnd"/>
      <w:r>
        <w:t xml:space="preserve"> altijd een rechthoek is,</w:t>
      </w:r>
    </w:p>
    <w:p w14:paraId="41E79082" w14:textId="7D09FE8F" w:rsidR="006E3D32" w:rsidRDefault="006E3D32" w:rsidP="001436BE">
      <w:pPr>
        <w:ind w:left="284" w:hanging="284"/>
      </w:pPr>
      <w:r>
        <w:t xml:space="preserve">weggehaald. Dit is </w:t>
      </w:r>
      <w:r w:rsidR="00B74CFB">
        <w:t>slechts het geval</w:t>
      </w:r>
      <w:r>
        <w:t xml:space="preserve"> bij p</w:t>
      </w:r>
      <w:r w:rsidR="00912D46">
        <w:t>roportioneel variabele kosten.</w:t>
      </w:r>
    </w:p>
    <w:p w14:paraId="73CB106B" w14:textId="77777777" w:rsidR="00B74CFB" w:rsidRDefault="00B74CFB" w:rsidP="001436BE">
      <w:pPr>
        <w:ind w:left="284" w:hanging="284"/>
      </w:pPr>
    </w:p>
    <w:p w14:paraId="731A5C8E" w14:textId="30D5D179" w:rsidR="00B74CFB" w:rsidRDefault="00B74CFB" w:rsidP="00FF1D2D">
      <w:pPr>
        <w:pStyle w:val="Kop2"/>
      </w:pPr>
      <w:bookmarkStart w:id="10" w:name="_Toc208219497"/>
      <w:r>
        <w:t>Uitwerkingen Markt en Overheid 6</w:t>
      </w:r>
      <w:r w:rsidRPr="00FF1D2D">
        <w:rPr>
          <w:vertAlign w:val="superscript"/>
        </w:rPr>
        <w:t>e</w:t>
      </w:r>
      <w:r>
        <w:t xml:space="preserve"> druk</w:t>
      </w:r>
      <w:bookmarkEnd w:id="10"/>
    </w:p>
    <w:p w14:paraId="03B2F0D3" w14:textId="00774F95" w:rsidR="00B74CFB" w:rsidRDefault="00B74CFB" w:rsidP="001436BE">
      <w:pPr>
        <w:ind w:left="284" w:hanging="284"/>
      </w:pPr>
      <w:r>
        <w:t xml:space="preserve">Op </w:t>
      </w:r>
      <w:proofErr w:type="spellStart"/>
      <w:r>
        <w:t>blz</w:t>
      </w:r>
      <w:proofErr w:type="spellEnd"/>
      <w:r>
        <w:t xml:space="preserve"> 10 bij e moet de tabel zijn: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784"/>
        <w:gridCol w:w="2142"/>
        <w:gridCol w:w="1894"/>
      </w:tblGrid>
      <w:tr w:rsidR="00B74CFB" w:rsidRPr="00586135" w14:paraId="1324E130" w14:textId="77777777" w:rsidTr="00FF1D2D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000000"/>
          </w:tcPr>
          <w:p w14:paraId="32EE7C4D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proofErr w:type="spellStart"/>
            <w:r w:rsidRPr="009C7000">
              <w:rPr>
                <w:rStyle w:val="TabelKolomKop"/>
              </w:rPr>
              <w:t>Qv</w:t>
            </w:r>
            <w:proofErr w:type="spellEnd"/>
            <w:r w:rsidRPr="009C7000">
              <w:rPr>
                <w:rStyle w:val="TabelKolomKop"/>
              </w:rPr>
              <w:t xml:space="preserve"> (× 1</w:t>
            </w:r>
            <w:r>
              <w:rPr>
                <w:rStyle w:val="TabelKolomKop"/>
              </w:rPr>
              <w:t>.000</w:t>
            </w:r>
            <w:r w:rsidRPr="009C7000">
              <w:rPr>
                <w:rStyle w:val="TabelKolomKop"/>
              </w:rPr>
              <w:t>)</w:t>
            </w:r>
          </w:p>
          <w:p w14:paraId="02237091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000000"/>
          </w:tcPr>
          <w:p w14:paraId="24A20EF1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P (=GO)</w:t>
            </w:r>
          </w:p>
          <w:p w14:paraId="78240A18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(2)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000000"/>
          </w:tcPr>
          <w:p w14:paraId="19A423B2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TO</w:t>
            </w:r>
            <w:r>
              <w:rPr>
                <w:rStyle w:val="TabelKolomKop"/>
              </w:rPr>
              <w:t xml:space="preserve"> (× 1.000)</w:t>
            </w:r>
          </w:p>
          <w:p w14:paraId="48FA2992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(3)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000000"/>
          </w:tcPr>
          <w:p w14:paraId="4019B1F0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MO *</w:t>
            </w:r>
          </w:p>
          <w:p w14:paraId="34CC0D3E" w14:textId="77777777" w:rsidR="00B74CFB" w:rsidRPr="009C7000" w:rsidRDefault="00B74CFB" w:rsidP="00A0576B">
            <w:pPr>
              <w:jc w:val="center"/>
              <w:rPr>
                <w:rStyle w:val="TabelKolomKop"/>
              </w:rPr>
            </w:pPr>
            <w:r w:rsidRPr="009C7000">
              <w:rPr>
                <w:rStyle w:val="TabelKolomKop"/>
              </w:rPr>
              <w:t>(4)</w:t>
            </w:r>
          </w:p>
        </w:tc>
      </w:tr>
      <w:tr w:rsidR="00B74CFB" w14:paraId="27A2847C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08DFA3D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69E1C5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</w:t>
            </w:r>
            <w:r>
              <w:rPr>
                <w:rStyle w:val="TabelGegeven"/>
              </w:rPr>
              <w:t>0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7AB130C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0</w:t>
            </w: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14:paraId="7AA85A7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5C1757B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20C13E0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30752FC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1AB645E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DA45E4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2.250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90</w:t>
            </w:r>
          </w:p>
        </w:tc>
      </w:tr>
      <w:tr w:rsidR="00B74CFB" w14:paraId="09D66B9E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69C49F3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371BD46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90</w:t>
            </w:r>
          </w:p>
        </w:tc>
        <w:tc>
          <w:tcPr>
            <w:tcW w:w="2142" w:type="dxa"/>
            <w:vMerge w:val="restart"/>
            <w:vAlign w:val="center"/>
          </w:tcPr>
          <w:p w14:paraId="41B100D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2.250</w:t>
            </w:r>
          </w:p>
        </w:tc>
        <w:tc>
          <w:tcPr>
            <w:tcW w:w="1894" w:type="dxa"/>
            <w:vMerge/>
            <w:vAlign w:val="center"/>
          </w:tcPr>
          <w:p w14:paraId="3E7AD8A8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D767ACC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01EB43E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39997F1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50AC69D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01657CEF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1.</w:t>
            </w: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70</w:t>
            </w:r>
          </w:p>
        </w:tc>
      </w:tr>
      <w:tr w:rsidR="00B74CFB" w14:paraId="370B2D44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3551B0C3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9F7073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80</w:t>
            </w:r>
          </w:p>
        </w:tc>
        <w:tc>
          <w:tcPr>
            <w:tcW w:w="2142" w:type="dxa"/>
            <w:vMerge w:val="restart"/>
            <w:vAlign w:val="center"/>
          </w:tcPr>
          <w:p w14:paraId="34DC870F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4.000</w:t>
            </w:r>
          </w:p>
        </w:tc>
        <w:tc>
          <w:tcPr>
            <w:tcW w:w="1894" w:type="dxa"/>
            <w:vMerge/>
            <w:vAlign w:val="center"/>
          </w:tcPr>
          <w:p w14:paraId="0B3623E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D726A86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42D4669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97007E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09EBA4A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3018409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1.</w:t>
            </w:r>
            <w:r>
              <w:rPr>
                <w:rStyle w:val="TabelGegeven"/>
              </w:rPr>
              <w:t>2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50</w:t>
            </w:r>
          </w:p>
        </w:tc>
      </w:tr>
      <w:tr w:rsidR="00B74CFB" w14:paraId="2D3DDDE7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196D5AB8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133DF5A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B04B81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5.250</w:t>
            </w:r>
          </w:p>
        </w:tc>
        <w:tc>
          <w:tcPr>
            <w:tcW w:w="1894" w:type="dxa"/>
            <w:vMerge/>
            <w:vAlign w:val="center"/>
          </w:tcPr>
          <w:p w14:paraId="0F182B3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6FACF46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3976BE5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1B71A84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7251E2B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A7288E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50</w:t>
            </w:r>
            <w:r>
              <w:rPr>
                <w:rStyle w:val="TabelGegeven"/>
              </w:rPr>
              <w:t xml:space="preserve">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30</w:t>
            </w:r>
          </w:p>
        </w:tc>
      </w:tr>
      <w:tr w:rsidR="00B74CFB" w14:paraId="3E307E15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7EEE839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10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F3B764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7343DDB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6.000</w:t>
            </w:r>
          </w:p>
        </w:tc>
        <w:tc>
          <w:tcPr>
            <w:tcW w:w="1894" w:type="dxa"/>
            <w:vMerge/>
            <w:vAlign w:val="center"/>
          </w:tcPr>
          <w:p w14:paraId="3A35D4C6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200D66FB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6561B06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FB9A29B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3F9FF4D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67FCDF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250 / 25 = 10</w:t>
            </w:r>
          </w:p>
        </w:tc>
      </w:tr>
      <w:tr w:rsidR="00B74CFB" w14:paraId="3B413D6B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3D34748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12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2067A54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433D6CA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6.250</w:t>
            </w:r>
          </w:p>
        </w:tc>
        <w:tc>
          <w:tcPr>
            <w:tcW w:w="1894" w:type="dxa"/>
            <w:vMerge/>
            <w:vAlign w:val="center"/>
          </w:tcPr>
          <w:p w14:paraId="267D981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409D2004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50DE0424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7051C3D9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0BD355D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59001A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 xml:space="preserve">-250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>5 =</w:t>
            </w:r>
            <w:r>
              <w:rPr>
                <w:rStyle w:val="TabelGegeven"/>
              </w:rPr>
              <w:t xml:space="preserve"> -10</w:t>
            </w:r>
            <w:r w:rsidRPr="00E66EC2">
              <w:rPr>
                <w:rStyle w:val="TabelGegeven"/>
              </w:rPr>
              <w:t xml:space="preserve"> </w:t>
            </w:r>
          </w:p>
        </w:tc>
      </w:tr>
      <w:tr w:rsidR="00B74CFB" w14:paraId="2B187087" w14:textId="77777777" w:rsidTr="00FF1D2D">
        <w:trPr>
          <w:trHeight w:hRule="exact" w:val="113"/>
        </w:trPr>
        <w:tc>
          <w:tcPr>
            <w:tcW w:w="0" w:type="auto"/>
            <w:vMerge w:val="restart"/>
            <w:vAlign w:val="center"/>
          </w:tcPr>
          <w:p w14:paraId="66E20EF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15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09643D6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4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  <w:vAlign w:val="center"/>
          </w:tcPr>
          <w:p w14:paraId="6595141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6.000</w:t>
            </w:r>
          </w:p>
        </w:tc>
        <w:tc>
          <w:tcPr>
            <w:tcW w:w="1894" w:type="dxa"/>
            <w:vMerge/>
            <w:vAlign w:val="center"/>
          </w:tcPr>
          <w:p w14:paraId="2331084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5A2F4BA" w14:textId="77777777" w:rsidTr="00FF1D2D">
        <w:trPr>
          <w:trHeight w:hRule="exact" w:val="113"/>
        </w:trPr>
        <w:tc>
          <w:tcPr>
            <w:tcW w:w="0" w:type="auto"/>
            <w:vMerge/>
            <w:vAlign w:val="center"/>
          </w:tcPr>
          <w:p w14:paraId="63A1BCDD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4ED7519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3562BA0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27871E52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 xml:space="preserve">-750 </w:t>
            </w:r>
            <w:r w:rsidRPr="00E66EC2">
              <w:rPr>
                <w:rStyle w:val="TabelGegeven"/>
              </w:rPr>
              <w:t>/</w:t>
            </w:r>
            <w:r>
              <w:rPr>
                <w:rStyle w:val="TabelGegeven"/>
              </w:rPr>
              <w:t xml:space="preserve"> 2</w:t>
            </w:r>
            <w:r w:rsidRPr="00E66EC2">
              <w:rPr>
                <w:rStyle w:val="TabelGegeven"/>
              </w:rPr>
              <w:t xml:space="preserve">5 = </w:t>
            </w:r>
            <w:r>
              <w:rPr>
                <w:rStyle w:val="TabelGegeven"/>
              </w:rPr>
              <w:t>-30</w:t>
            </w:r>
          </w:p>
        </w:tc>
      </w:tr>
      <w:tr w:rsidR="00B74CFB" w14:paraId="55593028" w14:textId="77777777" w:rsidTr="00FF1D2D">
        <w:trPr>
          <w:trHeight w:hRule="exact" w:val="113"/>
        </w:trPr>
        <w:tc>
          <w:tcPr>
            <w:tcW w:w="0" w:type="auto"/>
            <w:vMerge w:val="restart"/>
          </w:tcPr>
          <w:p w14:paraId="57933B3E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 w:rsidRPr="00E66EC2">
              <w:rPr>
                <w:rStyle w:val="TabelGegeven"/>
              </w:rPr>
              <w:t>1</w:t>
            </w:r>
            <w:r>
              <w:rPr>
                <w:rStyle w:val="TabelGegeven"/>
              </w:rPr>
              <w:t>7</w:t>
            </w:r>
            <w:r w:rsidRPr="00E66EC2">
              <w:rPr>
                <w:rStyle w:val="TabelGegeven"/>
              </w:rPr>
              <w:t>5</w:t>
            </w:r>
          </w:p>
        </w:tc>
        <w:tc>
          <w:tcPr>
            <w:tcW w:w="0" w:type="auto"/>
            <w:vMerge w:val="restart"/>
          </w:tcPr>
          <w:p w14:paraId="465491CA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3</w:t>
            </w:r>
            <w:r w:rsidRPr="00E66EC2">
              <w:rPr>
                <w:rStyle w:val="TabelGegeven"/>
              </w:rPr>
              <w:t>0</w:t>
            </w:r>
          </w:p>
        </w:tc>
        <w:tc>
          <w:tcPr>
            <w:tcW w:w="2142" w:type="dxa"/>
            <w:vMerge w:val="restart"/>
          </w:tcPr>
          <w:p w14:paraId="3569CB2C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  <w:r>
              <w:rPr>
                <w:rStyle w:val="TabelGegeven"/>
              </w:rPr>
              <w:t>5.250</w:t>
            </w:r>
          </w:p>
        </w:tc>
        <w:tc>
          <w:tcPr>
            <w:tcW w:w="1894" w:type="dxa"/>
            <w:vMerge/>
            <w:vAlign w:val="center"/>
          </w:tcPr>
          <w:p w14:paraId="36A43A3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  <w:tr w:rsidR="00B74CFB" w14:paraId="0448102A" w14:textId="77777777" w:rsidTr="00FF1D2D">
        <w:trPr>
          <w:trHeight w:val="20"/>
        </w:trPr>
        <w:tc>
          <w:tcPr>
            <w:tcW w:w="0" w:type="auto"/>
            <w:vMerge/>
            <w:vAlign w:val="center"/>
          </w:tcPr>
          <w:p w14:paraId="59995DE0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0" w:type="auto"/>
            <w:vMerge/>
            <w:vAlign w:val="center"/>
          </w:tcPr>
          <w:p w14:paraId="6BB33111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2142" w:type="dxa"/>
            <w:vMerge/>
            <w:vAlign w:val="center"/>
          </w:tcPr>
          <w:p w14:paraId="546E3915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  <w:tc>
          <w:tcPr>
            <w:tcW w:w="1894" w:type="dxa"/>
            <w:shd w:val="clear" w:color="auto" w:fill="A6A6A6" w:themeFill="background1" w:themeFillShade="A6"/>
            <w:vAlign w:val="center"/>
          </w:tcPr>
          <w:p w14:paraId="2390C7A7" w14:textId="77777777" w:rsidR="00B74CFB" w:rsidRPr="00E66EC2" w:rsidRDefault="00B74CFB" w:rsidP="00A0576B">
            <w:pPr>
              <w:jc w:val="center"/>
              <w:rPr>
                <w:rStyle w:val="TabelGegeven"/>
              </w:rPr>
            </w:pPr>
          </w:p>
        </w:tc>
      </w:tr>
    </w:tbl>
    <w:p w14:paraId="2CB6391F" w14:textId="77777777" w:rsidR="00B74CFB" w:rsidRPr="002A3271" w:rsidRDefault="00B74CFB" w:rsidP="001436BE">
      <w:pPr>
        <w:ind w:left="284" w:hanging="284"/>
      </w:pPr>
    </w:p>
    <w:sectPr w:rsidR="00B74CFB" w:rsidRPr="002A3271" w:rsidSect="00FE68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BB62" w14:textId="77777777" w:rsidR="007A1270" w:rsidRDefault="007A1270" w:rsidP="00F438ED">
      <w:r>
        <w:separator/>
      </w:r>
    </w:p>
  </w:endnote>
  <w:endnote w:type="continuationSeparator" w:id="0">
    <w:p w14:paraId="0265CCD4" w14:textId="77777777" w:rsidR="007A1270" w:rsidRDefault="007A1270" w:rsidP="00F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Con-Bold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C77EC" w14:textId="77777777" w:rsidR="007A1270" w:rsidRDefault="007A1270" w:rsidP="00F438ED">
      <w:r>
        <w:separator/>
      </w:r>
    </w:p>
  </w:footnote>
  <w:footnote w:type="continuationSeparator" w:id="0">
    <w:p w14:paraId="349A5086" w14:textId="77777777" w:rsidR="007A1270" w:rsidRDefault="007A1270" w:rsidP="00F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406" w14:textId="06D67EA2" w:rsidR="00F438ED" w:rsidRPr="00D2324D" w:rsidRDefault="00F438ED">
    <w:pPr>
      <w:pStyle w:val="Koptekst"/>
    </w:pPr>
    <w:r w:rsidRPr="00E851FA">
      <w:rPr>
        <w:noProof/>
        <w:lang w:eastAsia="nl-NL"/>
      </w:rPr>
      <w:drawing>
        <wp:inline distT="0" distB="0" distL="0" distR="0" wp14:anchorId="69813EA0" wp14:editId="1E4C7457">
          <wp:extent cx="449680" cy="371475"/>
          <wp:effectExtent l="0" t="0" r="762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Errata havo lesbrieven 202</w:t>
    </w:r>
    <w:r w:rsidR="001436BE">
      <w:rPr>
        <w:rFonts w:ascii="QuadraatSans-Regular" w:hAnsi="QuadraatSans-Regular"/>
        <w:sz w:val="20"/>
        <w:szCs w:val="20"/>
      </w:rPr>
      <w:t>5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-202</w:t>
        </w:r>
        <w:r w:rsidR="001436BE">
          <w:rPr>
            <w:rFonts w:ascii="QuadraatSans-Regular" w:hAnsi="QuadraatSans-Regular"/>
            <w:sz w:val="20"/>
            <w:szCs w:val="20"/>
          </w:rPr>
          <w:t>6</w:t>
        </w:r>
        <w:r>
          <w:rPr>
            <w:rFonts w:ascii="QuadraatSans-Regular" w:hAnsi="QuadraatSans-Regular"/>
            <w:sz w:val="20"/>
            <w:szCs w:val="20"/>
          </w:rPr>
          <w:tab/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912D46">
          <w:rPr>
            <w:rFonts w:ascii="QuadraatSans-Regular" w:hAnsi="QuadraatSans-Regular"/>
            <w:noProof/>
            <w:sz w:val="20"/>
            <w:szCs w:val="20"/>
          </w:rPr>
          <w:t>2</w: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C"/>
    <w:rsid w:val="00015359"/>
    <w:rsid w:val="00016980"/>
    <w:rsid w:val="00032C17"/>
    <w:rsid w:val="000727D4"/>
    <w:rsid w:val="000F258C"/>
    <w:rsid w:val="001436BE"/>
    <w:rsid w:val="001A6749"/>
    <w:rsid w:val="001F1AC7"/>
    <w:rsid w:val="00201BEB"/>
    <w:rsid w:val="00220276"/>
    <w:rsid w:val="00252344"/>
    <w:rsid w:val="00272548"/>
    <w:rsid w:val="002A3271"/>
    <w:rsid w:val="002B7C15"/>
    <w:rsid w:val="003470FE"/>
    <w:rsid w:val="0035557F"/>
    <w:rsid w:val="003640F6"/>
    <w:rsid w:val="00375AD5"/>
    <w:rsid w:val="003A2DA0"/>
    <w:rsid w:val="003A5DC9"/>
    <w:rsid w:val="003B69D7"/>
    <w:rsid w:val="003E3130"/>
    <w:rsid w:val="00446153"/>
    <w:rsid w:val="0045782C"/>
    <w:rsid w:val="00491B54"/>
    <w:rsid w:val="004C5582"/>
    <w:rsid w:val="004F6A40"/>
    <w:rsid w:val="00523C07"/>
    <w:rsid w:val="00525860"/>
    <w:rsid w:val="00572196"/>
    <w:rsid w:val="0057284E"/>
    <w:rsid w:val="00585CA2"/>
    <w:rsid w:val="00591519"/>
    <w:rsid w:val="00596C32"/>
    <w:rsid w:val="005E1F20"/>
    <w:rsid w:val="005F0FA4"/>
    <w:rsid w:val="006409A9"/>
    <w:rsid w:val="00643CAC"/>
    <w:rsid w:val="00692213"/>
    <w:rsid w:val="006A25CA"/>
    <w:rsid w:val="006A6C93"/>
    <w:rsid w:val="006B22C4"/>
    <w:rsid w:val="006B47D0"/>
    <w:rsid w:val="006E3D32"/>
    <w:rsid w:val="006E4C03"/>
    <w:rsid w:val="006E7A4C"/>
    <w:rsid w:val="006F512D"/>
    <w:rsid w:val="00712FC9"/>
    <w:rsid w:val="00726F9E"/>
    <w:rsid w:val="007533C1"/>
    <w:rsid w:val="00753B57"/>
    <w:rsid w:val="00773DD2"/>
    <w:rsid w:val="00791717"/>
    <w:rsid w:val="007967DA"/>
    <w:rsid w:val="007A1270"/>
    <w:rsid w:val="007F5555"/>
    <w:rsid w:val="007F73EA"/>
    <w:rsid w:val="008121C4"/>
    <w:rsid w:val="0083341B"/>
    <w:rsid w:val="00834523"/>
    <w:rsid w:val="00836887"/>
    <w:rsid w:val="00843167"/>
    <w:rsid w:val="00851FCB"/>
    <w:rsid w:val="008A14DE"/>
    <w:rsid w:val="008C5280"/>
    <w:rsid w:val="008D75EB"/>
    <w:rsid w:val="00911A84"/>
    <w:rsid w:val="00912D46"/>
    <w:rsid w:val="00942DB8"/>
    <w:rsid w:val="00960959"/>
    <w:rsid w:val="00962F5F"/>
    <w:rsid w:val="00971B91"/>
    <w:rsid w:val="009A1E3F"/>
    <w:rsid w:val="009A6CF7"/>
    <w:rsid w:val="009F48A9"/>
    <w:rsid w:val="00A00537"/>
    <w:rsid w:val="00A33980"/>
    <w:rsid w:val="00A363FC"/>
    <w:rsid w:val="00A44DFF"/>
    <w:rsid w:val="00AB37FF"/>
    <w:rsid w:val="00AE7A1A"/>
    <w:rsid w:val="00B14777"/>
    <w:rsid w:val="00B21BF5"/>
    <w:rsid w:val="00B33A50"/>
    <w:rsid w:val="00B34383"/>
    <w:rsid w:val="00B371ED"/>
    <w:rsid w:val="00B42A2E"/>
    <w:rsid w:val="00B602EC"/>
    <w:rsid w:val="00B74CFB"/>
    <w:rsid w:val="00B85EB6"/>
    <w:rsid w:val="00BA54E3"/>
    <w:rsid w:val="00BC0E1E"/>
    <w:rsid w:val="00BD088E"/>
    <w:rsid w:val="00BE41DD"/>
    <w:rsid w:val="00BE5945"/>
    <w:rsid w:val="00BE5C6B"/>
    <w:rsid w:val="00C1560F"/>
    <w:rsid w:val="00C22D83"/>
    <w:rsid w:val="00C5299E"/>
    <w:rsid w:val="00C57502"/>
    <w:rsid w:val="00C66AA5"/>
    <w:rsid w:val="00C762F8"/>
    <w:rsid w:val="00CE4235"/>
    <w:rsid w:val="00CF2350"/>
    <w:rsid w:val="00D02618"/>
    <w:rsid w:val="00D15219"/>
    <w:rsid w:val="00D2324D"/>
    <w:rsid w:val="00D42305"/>
    <w:rsid w:val="00D90A9A"/>
    <w:rsid w:val="00D96B6F"/>
    <w:rsid w:val="00DC08B2"/>
    <w:rsid w:val="00DC1606"/>
    <w:rsid w:val="00DD32FE"/>
    <w:rsid w:val="00E2378B"/>
    <w:rsid w:val="00E4608B"/>
    <w:rsid w:val="00E475C4"/>
    <w:rsid w:val="00E65ED0"/>
    <w:rsid w:val="00E757BD"/>
    <w:rsid w:val="00E91A33"/>
    <w:rsid w:val="00EB7FE5"/>
    <w:rsid w:val="00F012F4"/>
    <w:rsid w:val="00F0411A"/>
    <w:rsid w:val="00F0615D"/>
    <w:rsid w:val="00F07B58"/>
    <w:rsid w:val="00F4000E"/>
    <w:rsid w:val="00F438ED"/>
    <w:rsid w:val="00F46B61"/>
    <w:rsid w:val="00F612DA"/>
    <w:rsid w:val="00F85614"/>
    <w:rsid w:val="00FA2A1A"/>
    <w:rsid w:val="00FB1B87"/>
    <w:rsid w:val="00FE6814"/>
    <w:rsid w:val="00FE7005"/>
    <w:rsid w:val="00FF1D2D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3FC"/>
  </w:style>
  <w:style w:type="paragraph" w:styleId="Kop1">
    <w:name w:val="heading 1"/>
    <w:basedOn w:val="Standaard"/>
    <w:next w:val="Standaard"/>
    <w:link w:val="Kop1Char"/>
    <w:uiPriority w:val="9"/>
    <w:qFormat/>
    <w:rsid w:val="002B7C15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7C15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63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3F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8ED"/>
  </w:style>
  <w:style w:type="paragraph" w:styleId="Voettekst">
    <w:name w:val="footer"/>
    <w:basedOn w:val="Standaard"/>
    <w:link w:val="Voet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8ED"/>
  </w:style>
  <w:style w:type="character" w:customStyle="1" w:styleId="Kop1Char">
    <w:name w:val="Kop 1 Char"/>
    <w:basedOn w:val="Standaardalinea-lettertype"/>
    <w:link w:val="Kop1"/>
    <w:uiPriority w:val="9"/>
    <w:rsid w:val="002B7C1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2B7C15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C15"/>
  </w:style>
  <w:style w:type="paragraph" w:styleId="Inhopg1">
    <w:name w:val="toc 1"/>
    <w:basedOn w:val="Standaard"/>
    <w:next w:val="Standaard"/>
    <w:autoRedefine/>
    <w:uiPriority w:val="39"/>
    <w:unhideWhenUsed/>
    <w:rsid w:val="002B7C1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B37FF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B7C15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14777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F612DA"/>
  </w:style>
  <w:style w:type="character" w:customStyle="1" w:styleId="TabelKolomKop">
    <w:name w:val="TabelKolomKop"/>
    <w:uiPriority w:val="1"/>
    <w:qFormat/>
    <w:rsid w:val="00B74CFB"/>
    <w:rPr>
      <w:rFonts w:ascii="QuadraatSansCon-Bold" w:hAnsi="QuadraatSansCon-Bold"/>
      <w:color w:val="FFFFFF"/>
      <w:sz w:val="20"/>
    </w:rPr>
  </w:style>
  <w:style w:type="character" w:customStyle="1" w:styleId="TabelGegeven">
    <w:name w:val="TabelGegeven"/>
    <w:uiPriority w:val="1"/>
    <w:qFormat/>
    <w:rsid w:val="00B74CFB"/>
    <w:rPr>
      <w:rFonts w:ascii="QuadraatSans-Caps" w:hAnsi="QuadraatSans-Caps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5D1C-7914-4C60-9BA5-6DD8E0EC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2025-09-05T06:39:00Z</dcterms:created>
  <dcterms:modified xsi:type="dcterms:W3CDTF">2025-09-08T08:24:00Z</dcterms:modified>
</cp:coreProperties>
</file>