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3A2C4" w14:textId="77777777" w:rsidR="0078469D" w:rsidRDefault="0078469D" w:rsidP="003105FA">
      <w:pPr>
        <w:rPr>
          <w:b/>
        </w:rPr>
      </w:pPr>
    </w:p>
    <w:p w14:paraId="0A3CB6D3" w14:textId="1DDA22C1" w:rsidR="003105FA" w:rsidRPr="003105FA" w:rsidRDefault="003105FA" w:rsidP="003105FA">
      <w:pPr>
        <w:rPr>
          <w:b/>
        </w:rPr>
      </w:pPr>
      <w:r w:rsidRPr="003105FA">
        <w:rPr>
          <w:b/>
        </w:rPr>
        <w:t>Opdracht 7.1</w:t>
      </w:r>
      <w:r w:rsidR="00777D54">
        <w:rPr>
          <w:b/>
        </w:rPr>
        <w:t xml:space="preserve"> Oudedagsvoorziening</w:t>
      </w:r>
    </w:p>
    <w:p w14:paraId="563E614B" w14:textId="77777777" w:rsidR="003105FA" w:rsidRPr="003105FA" w:rsidRDefault="003105FA" w:rsidP="003105FA">
      <w:r w:rsidRPr="003105FA">
        <w:t>Veel werkende mensen sparen via hun werk voor een extra oudedagsvoorziening, het bedrijfspensioen. Werknemers doen dit via een verplichte pensioenregeling via een</w:t>
      </w:r>
      <w:r>
        <w:t xml:space="preserve"> </w:t>
      </w:r>
      <w:r w:rsidRPr="003105FA">
        <w:t>pensioenfonds.</w:t>
      </w:r>
    </w:p>
    <w:p w14:paraId="32274D45" w14:textId="14D92CAD" w:rsidR="003105FA" w:rsidRPr="003105FA" w:rsidRDefault="003105FA" w:rsidP="003105FA">
      <w:r w:rsidRPr="003105FA">
        <w:t>a.</w:t>
      </w:r>
      <w:r w:rsidRPr="003105FA">
        <w:tab/>
        <w:t>Noem drie verschillende beleggingsobjecten van pensioenfondsen.</w:t>
      </w:r>
    </w:p>
    <w:p w14:paraId="28CC0D6F" w14:textId="77777777" w:rsidR="003105FA" w:rsidRPr="003105FA" w:rsidRDefault="003105FA" w:rsidP="003105FA"/>
    <w:p w14:paraId="372C2C19" w14:textId="77777777" w:rsidR="003105FA" w:rsidRPr="003105FA" w:rsidRDefault="003105FA" w:rsidP="006E2C72">
      <w:pPr>
        <w:ind w:left="708" w:hanging="708"/>
      </w:pPr>
      <w:r w:rsidRPr="003105FA">
        <w:t>b.</w:t>
      </w:r>
      <w:r w:rsidRPr="003105FA">
        <w:tab/>
        <w:t>Zijn pensioenen gebaseerd op het omslagstelsel of op het kapitaaldekkingsstelsel? Motiveer het antwoord.</w:t>
      </w:r>
    </w:p>
    <w:p w14:paraId="34A48D94" w14:textId="77777777" w:rsidR="003105FA" w:rsidRPr="003105FA" w:rsidRDefault="003105FA" w:rsidP="003105FA"/>
    <w:p w14:paraId="27D84015" w14:textId="77777777" w:rsidR="003105FA" w:rsidRPr="003105FA" w:rsidRDefault="003105FA" w:rsidP="003105FA">
      <w:r w:rsidRPr="003105FA">
        <w:t>c.</w:t>
      </w:r>
      <w:r w:rsidRPr="003105FA">
        <w:tab/>
        <w:t>Beschrijf het verschil tussen een aandeel en een obligatie.</w:t>
      </w:r>
    </w:p>
    <w:p w14:paraId="2E1F2CE3" w14:textId="77777777" w:rsidR="003105FA" w:rsidRPr="003105FA" w:rsidRDefault="003105FA" w:rsidP="003105FA"/>
    <w:p w14:paraId="7D09D056" w14:textId="77777777" w:rsidR="003105FA" w:rsidRPr="003105FA" w:rsidRDefault="003105FA" w:rsidP="003105FA">
      <w:r w:rsidRPr="003105FA">
        <w:t>De beleggingswinsten van de pensioenfondsen zijn afhankelijk van de koers van de aandelen en de rente op de obligaties. Dat geldt niet voor de AOW-uitkeringen.</w:t>
      </w:r>
    </w:p>
    <w:p w14:paraId="7C8A6534" w14:textId="77777777" w:rsidR="003105FA" w:rsidRPr="003105FA" w:rsidRDefault="003105FA" w:rsidP="003105FA"/>
    <w:p w14:paraId="645986BB" w14:textId="77777777" w:rsidR="003105FA" w:rsidRPr="003105FA" w:rsidRDefault="003105FA" w:rsidP="006E2C72">
      <w:pPr>
        <w:ind w:left="708" w:hanging="708"/>
      </w:pPr>
      <w:r w:rsidRPr="003105FA">
        <w:t>d.</w:t>
      </w:r>
      <w:r w:rsidRPr="003105FA">
        <w:tab/>
        <w:t>Waarom staan AOW-uitkeringen niet onder druk als de aandelenkoersen dalen of de rente laag is?</w:t>
      </w:r>
    </w:p>
    <w:p w14:paraId="5992A41A" w14:textId="77777777" w:rsidR="003105FA" w:rsidRPr="003105FA" w:rsidRDefault="003105FA" w:rsidP="003105FA"/>
    <w:p w14:paraId="69AE500F" w14:textId="77777777" w:rsidR="003105FA" w:rsidRPr="003105FA" w:rsidRDefault="003105FA" w:rsidP="003105FA">
      <w:r w:rsidRPr="003105FA">
        <w:t>e.</w:t>
      </w:r>
      <w:r w:rsidRPr="003105FA">
        <w:tab/>
        <w:t>Geef een voordeel en een nadeel van het beleggen in aandelen.</w:t>
      </w:r>
    </w:p>
    <w:p w14:paraId="5F424EC0" w14:textId="77777777" w:rsidR="003105FA" w:rsidRPr="003105FA" w:rsidRDefault="003105FA" w:rsidP="003105FA"/>
    <w:p w14:paraId="0DD40CE5" w14:textId="77777777" w:rsidR="003105FA" w:rsidRPr="003105FA" w:rsidRDefault="003105FA" w:rsidP="003105FA">
      <w:r w:rsidRPr="003105FA">
        <w:t>f.</w:t>
      </w:r>
      <w:r w:rsidRPr="003105FA">
        <w:tab/>
        <w:t>Geef een voordeel en een nadeel van het beleggen in obligaties.</w:t>
      </w:r>
    </w:p>
    <w:p w14:paraId="1AFF6B4F" w14:textId="77777777" w:rsidR="003105FA" w:rsidRDefault="003105FA" w:rsidP="003105FA"/>
    <w:p w14:paraId="0B59A289" w14:textId="77777777" w:rsidR="00777D54" w:rsidRDefault="00777D54" w:rsidP="00777D54">
      <w:pPr>
        <w:rPr>
          <w:b/>
        </w:rPr>
      </w:pPr>
    </w:p>
    <w:p w14:paraId="08BD2476" w14:textId="3DEF6B30" w:rsidR="00777D54" w:rsidRPr="00D625E9" w:rsidRDefault="00777D54" w:rsidP="00777D54">
      <w:pPr>
        <w:rPr>
          <w:b/>
        </w:rPr>
      </w:pPr>
      <w:r w:rsidRPr="00D625E9">
        <w:rPr>
          <w:b/>
        </w:rPr>
        <w:t xml:space="preserve">Opdracht </w:t>
      </w:r>
      <w:r>
        <w:rPr>
          <w:b/>
        </w:rPr>
        <w:t xml:space="preserve">7.2 </w:t>
      </w:r>
      <w:r w:rsidRPr="00D625E9">
        <w:rPr>
          <w:b/>
        </w:rPr>
        <w:t>Herverdeling tussen generaties</w:t>
      </w:r>
    </w:p>
    <w:p w14:paraId="5B2C694E" w14:textId="77777777" w:rsidR="00777D54" w:rsidRDefault="00777D54" w:rsidP="00777D54"/>
    <w:p w14:paraId="51D0B624" w14:textId="77777777" w:rsidR="00777D54" w:rsidRDefault="00777D54" w:rsidP="00777D54">
      <w:r>
        <w:t>In 1957 werd de Algemene Ouderdomswet (AOW) ingevoerd. Alle ingezetenen die 65 jaar of ouder waren kregen vanaf die tijd een uitkering, zonder dat zij ooit premie hadden betaald. De invoering van de AOW is dan ook een opmerkelijk voorbeeld van een door de overheid bewerkstelligde herverdeling tussen generaties. De rekening voor de AOW-uitkeringen werd door de keuze van een op het omslagstel gebaseerde systeem gelegd bij alle mensen die in 1957 nog geen 65 jaar waren en bij de nog ongeboren generaties. Deze generaties mochten er dan ook op rekenen dat tegen de tijd dat zij 65 werden de jongere generaties ook de benodigde omslagpremie zouden opbrengen.</w:t>
      </w:r>
    </w:p>
    <w:p w14:paraId="4EE876FE" w14:textId="77777777" w:rsidR="00777D54" w:rsidRDefault="00777D54" w:rsidP="00777D54">
      <w:pPr>
        <w:ind w:left="426" w:hanging="426"/>
      </w:pPr>
    </w:p>
    <w:p w14:paraId="4729C80A" w14:textId="77777777" w:rsidR="00777D54" w:rsidRDefault="00777D54" w:rsidP="00777D54">
      <w:pPr>
        <w:ind w:left="426" w:hanging="426"/>
      </w:pPr>
      <w:r>
        <w:t xml:space="preserve">a. </w:t>
      </w:r>
      <w:r>
        <w:tab/>
        <w:t>De hierboven beschreven invoering van de AOW is een voorbeeld van:</w:t>
      </w:r>
    </w:p>
    <w:p w14:paraId="28EBF257" w14:textId="77777777" w:rsidR="00777D54" w:rsidRDefault="00777D54" w:rsidP="00777D54">
      <w:pPr>
        <w:ind w:left="426" w:hanging="426"/>
      </w:pPr>
      <w:r>
        <w:tab/>
        <w:t>- het profijtbeginsel;</w:t>
      </w:r>
    </w:p>
    <w:p w14:paraId="7EBCAAC0" w14:textId="77777777" w:rsidR="00777D54" w:rsidRDefault="00777D54" w:rsidP="00777D54">
      <w:pPr>
        <w:ind w:left="426" w:hanging="426"/>
      </w:pPr>
      <w:r>
        <w:tab/>
        <w:t xml:space="preserve">- </w:t>
      </w:r>
      <w:proofErr w:type="spellStart"/>
      <w:r>
        <w:t>intertemporele</w:t>
      </w:r>
      <w:proofErr w:type="spellEnd"/>
      <w:r>
        <w:t xml:space="preserve"> ruil</w:t>
      </w:r>
    </w:p>
    <w:p w14:paraId="26EF7BF7" w14:textId="77777777" w:rsidR="00777D54" w:rsidRDefault="00777D54" w:rsidP="00777D54">
      <w:pPr>
        <w:ind w:left="426" w:hanging="426"/>
      </w:pPr>
      <w:r>
        <w:tab/>
        <w:t>- gevangenendilemma.</w:t>
      </w:r>
    </w:p>
    <w:p w14:paraId="4C738214" w14:textId="77777777" w:rsidR="00777D54" w:rsidRDefault="00777D54" w:rsidP="00777D54"/>
    <w:p w14:paraId="065220D2" w14:textId="77777777" w:rsidR="00777D54" w:rsidRDefault="00777D54" w:rsidP="00777D54">
      <w:r>
        <w:t xml:space="preserve">Door de vergrijzing van de bevolking wordt het steeds moeilijker om de AOW in ongewijzigde vorm te handhaven. Het aantal 65-plussers neemt sterker toe dan de </w:t>
      </w:r>
      <w:r>
        <w:lastRenderedPageBreak/>
        <w:t>groei van de beroepsbevolking. Hierdoor groeit de kloof tussen uitgaven en ontvangsten van de collectiever sector. De vraag is niet zozeer of de overheid deze rekening zal voldoen, het gaat er vooral om wanneer en door wie die cheque wordt betaald. De vergrijzing leidt weer tot een verdelingsvraagstuk tussen generaties.</w:t>
      </w:r>
    </w:p>
    <w:p w14:paraId="17C1CCD1" w14:textId="77777777" w:rsidR="00777D54" w:rsidRDefault="00777D54" w:rsidP="00777D54">
      <w:pPr>
        <w:ind w:left="426" w:hanging="426"/>
      </w:pPr>
    </w:p>
    <w:p w14:paraId="00DB2E12" w14:textId="77777777" w:rsidR="00777D54" w:rsidRDefault="00777D54" w:rsidP="00777D54">
      <w:pPr>
        <w:ind w:left="426" w:hanging="426"/>
      </w:pPr>
      <w:r>
        <w:t>b.</w:t>
      </w:r>
      <w:r>
        <w:tab/>
        <w:t>Geef een juiste omschrijving van het begrip “vergrijzing”.</w:t>
      </w:r>
    </w:p>
    <w:p w14:paraId="7383083B" w14:textId="77777777" w:rsidR="00777D54" w:rsidRDefault="00777D54" w:rsidP="00777D54"/>
    <w:p w14:paraId="04DFB946" w14:textId="77777777" w:rsidR="00777D54" w:rsidRDefault="00777D54" w:rsidP="00777D54">
      <w:r>
        <w:t>Om de groeiende vergrijzing het hoofd te bieden wordt de pensioengerechtigde leeftijd in stappen verhoogd naar 67 jaar. In 2021 is de AOW leeftijd 66 jaar en 4 maanden en in 2024 wordt dat 67 jaar.</w:t>
      </w:r>
    </w:p>
    <w:p w14:paraId="15D3586C" w14:textId="77777777" w:rsidR="00777D54" w:rsidRDefault="00777D54" w:rsidP="00777D54">
      <w:pPr>
        <w:ind w:left="426" w:hanging="426"/>
      </w:pPr>
    </w:p>
    <w:p w14:paraId="67F3DE3B" w14:textId="77777777" w:rsidR="00777D54" w:rsidRDefault="00777D54" w:rsidP="00777D54">
      <w:pPr>
        <w:ind w:left="426" w:hanging="426"/>
      </w:pPr>
      <w:r>
        <w:t>c.</w:t>
      </w:r>
      <w:r>
        <w:tab/>
        <w:t>Wordt door het verhogen van de AOW-leeftijd de toekomstige generatie ontlast of anders geformuleerd, wordt door het verhogen van de AOW-leeftijd de kosten van de vergrijzing beter verdeeld over alle generaties?</w:t>
      </w:r>
    </w:p>
    <w:p w14:paraId="53C47F6E" w14:textId="77777777" w:rsidR="006E2C72" w:rsidRDefault="003105FA" w:rsidP="003105FA">
      <w:pPr>
        <w:rPr>
          <w:b/>
        </w:rPr>
      </w:pPr>
      <w:r w:rsidRPr="003105FA">
        <w:rPr>
          <w:b/>
        </w:rPr>
        <w:br w:type="page"/>
      </w:r>
    </w:p>
    <w:p w14:paraId="34596E9C" w14:textId="77777777" w:rsidR="006E2C72" w:rsidRDefault="006E2C72" w:rsidP="003105FA">
      <w:pPr>
        <w:rPr>
          <w:b/>
        </w:rPr>
      </w:pPr>
    </w:p>
    <w:p w14:paraId="65F533BB" w14:textId="77777777" w:rsidR="003105FA" w:rsidRPr="003105FA" w:rsidRDefault="003105FA" w:rsidP="003105FA">
      <w:pPr>
        <w:rPr>
          <w:b/>
        </w:rPr>
      </w:pPr>
      <w:r w:rsidRPr="003105FA">
        <w:rPr>
          <w:b/>
        </w:rPr>
        <w:t>Uitwerking opdracht 7.1</w:t>
      </w:r>
    </w:p>
    <w:p w14:paraId="0ACE7DB4" w14:textId="77777777" w:rsidR="006E2C72" w:rsidRDefault="006E2C72" w:rsidP="003105FA"/>
    <w:p w14:paraId="2EB92407" w14:textId="77777777" w:rsidR="003105FA" w:rsidRPr="003105FA" w:rsidRDefault="003105FA" w:rsidP="003105FA">
      <w:r w:rsidRPr="003105FA">
        <w:t>a.</w:t>
      </w:r>
      <w:r w:rsidRPr="003105FA">
        <w:tab/>
        <w:t>Aandelen, obligaties, onroerend goed, grondstoffen, buitenlandse valuta, etc.</w:t>
      </w:r>
    </w:p>
    <w:p w14:paraId="0FA7FEE2" w14:textId="77777777" w:rsidR="006E2C72" w:rsidRDefault="006E2C72" w:rsidP="003105FA"/>
    <w:p w14:paraId="3AE9CB84" w14:textId="77777777" w:rsidR="003105FA" w:rsidRPr="003105FA" w:rsidRDefault="003105FA" w:rsidP="006E2C72">
      <w:pPr>
        <w:ind w:left="708" w:hanging="708"/>
      </w:pPr>
      <w:r w:rsidRPr="003105FA">
        <w:t>b.</w:t>
      </w:r>
      <w:r w:rsidRPr="003105FA">
        <w:tab/>
        <w:t>Kapitaaldekkingsstelsel: de premies die nu betaald worden, worden belegd om later als pensioen uitgekeerd te worden.</w:t>
      </w:r>
    </w:p>
    <w:p w14:paraId="36314F43" w14:textId="77777777" w:rsidR="006E2C72" w:rsidRDefault="006E2C72" w:rsidP="003105FA"/>
    <w:p w14:paraId="1CBA7BAF" w14:textId="77777777" w:rsidR="003105FA" w:rsidRPr="003105FA" w:rsidRDefault="003105FA" w:rsidP="006E2C72">
      <w:pPr>
        <w:ind w:left="708" w:hanging="708"/>
      </w:pPr>
      <w:r w:rsidRPr="003105FA">
        <w:t>c.</w:t>
      </w:r>
      <w:r w:rsidRPr="003105FA">
        <w:tab/>
        <w:t>Een aandeel is een bewijs van eigendom in een onderneming en geeft recht op een winstuitkering (dividend). Een obligatie is een schuldbewijs dat op het eind van de looptijd wordt terugbetaald. Een obligatie geeft recht op rente aan het eind van ieder jaar.</w:t>
      </w:r>
    </w:p>
    <w:p w14:paraId="3927A0D9" w14:textId="77777777" w:rsidR="006E2C72" w:rsidRDefault="006E2C72" w:rsidP="003105FA"/>
    <w:p w14:paraId="4052681E" w14:textId="77777777" w:rsidR="003105FA" w:rsidRPr="003105FA" w:rsidRDefault="003105FA" w:rsidP="006E2C72">
      <w:pPr>
        <w:ind w:left="708" w:hanging="708"/>
      </w:pPr>
      <w:r w:rsidRPr="003105FA">
        <w:t>d.</w:t>
      </w:r>
      <w:r w:rsidRPr="003105FA">
        <w:tab/>
        <w:t>Omdat de AOW-uitkeringen zijn gebaseerd op het omslagstelsel. De AOW-uitkeringen worden gedaan met de premies die nu opgebracht worden.</w:t>
      </w:r>
    </w:p>
    <w:p w14:paraId="34712516" w14:textId="77777777" w:rsidR="006E2C72" w:rsidRDefault="006E2C72" w:rsidP="003105FA"/>
    <w:p w14:paraId="73A87CD4" w14:textId="77777777" w:rsidR="003105FA" w:rsidRPr="003105FA" w:rsidRDefault="003105FA" w:rsidP="006E2C72">
      <w:pPr>
        <w:ind w:left="708" w:hanging="708"/>
      </w:pPr>
      <w:r w:rsidRPr="003105FA">
        <w:t>e.</w:t>
      </w:r>
      <w:r w:rsidRPr="003105FA">
        <w:tab/>
        <w:t>Het beleggen in aandelen levert hogere rendementen, maar het risico is ook groter.</w:t>
      </w:r>
    </w:p>
    <w:p w14:paraId="21C9C7EE" w14:textId="77777777" w:rsidR="006E2C72" w:rsidRDefault="006E2C72" w:rsidP="003105FA"/>
    <w:p w14:paraId="5507B320" w14:textId="77777777" w:rsidR="003105FA" w:rsidRPr="003105FA" w:rsidRDefault="003105FA" w:rsidP="006E2C72">
      <w:pPr>
        <w:ind w:left="708" w:hanging="708"/>
      </w:pPr>
      <w:r w:rsidRPr="003105FA">
        <w:t>f.</w:t>
      </w:r>
      <w:r w:rsidRPr="003105FA">
        <w:tab/>
        <w:t>Het beleggen in obligaties heeft een veel kleiner risico, maar heeft ook minder rendement.</w:t>
      </w:r>
    </w:p>
    <w:p w14:paraId="236FBF46" w14:textId="77777777" w:rsidR="003105FA" w:rsidRPr="003105FA" w:rsidRDefault="003105FA" w:rsidP="003105FA"/>
    <w:p w14:paraId="3A906943" w14:textId="76193E00" w:rsidR="00777D54" w:rsidRPr="003F36A4" w:rsidRDefault="00777D54" w:rsidP="00777D54">
      <w:pPr>
        <w:pStyle w:val="Lijstalinea"/>
        <w:ind w:left="0"/>
        <w:rPr>
          <w:b/>
        </w:rPr>
      </w:pPr>
      <w:r w:rsidRPr="003F36A4">
        <w:rPr>
          <w:b/>
        </w:rPr>
        <w:t>Uitwerking</w:t>
      </w:r>
      <w:r>
        <w:rPr>
          <w:b/>
        </w:rPr>
        <w:t xml:space="preserve"> opdracht 7.2</w:t>
      </w:r>
    </w:p>
    <w:p w14:paraId="5122F53F" w14:textId="77777777" w:rsidR="00777D54" w:rsidRDefault="00777D54" w:rsidP="00777D54">
      <w:pPr>
        <w:pStyle w:val="Lijstalinea"/>
        <w:ind w:left="426" w:hanging="426"/>
      </w:pPr>
    </w:p>
    <w:p w14:paraId="45275DC9" w14:textId="77777777" w:rsidR="00777D54" w:rsidRDefault="00777D54" w:rsidP="00777D54">
      <w:pPr>
        <w:pStyle w:val="Lijstalinea"/>
        <w:ind w:left="426" w:hanging="426"/>
      </w:pPr>
      <w:r>
        <w:t>a.</w:t>
      </w:r>
      <w:r>
        <w:tab/>
      </w:r>
      <w:proofErr w:type="spellStart"/>
      <w:r>
        <w:t>Intertemporele</w:t>
      </w:r>
      <w:proofErr w:type="spellEnd"/>
      <w:r>
        <w:t xml:space="preserve"> ruil: de nieuwe generatie financiert de kosten van de huidige AOW-uitkeringen.</w:t>
      </w:r>
    </w:p>
    <w:p w14:paraId="1245B114" w14:textId="77777777" w:rsidR="00777D54" w:rsidRDefault="00777D54" w:rsidP="00777D54">
      <w:pPr>
        <w:pStyle w:val="Lijstalinea"/>
        <w:ind w:left="426" w:hanging="426"/>
      </w:pPr>
    </w:p>
    <w:p w14:paraId="16A70391" w14:textId="77777777" w:rsidR="00777D54" w:rsidRDefault="00777D54" w:rsidP="00777D54">
      <w:pPr>
        <w:pStyle w:val="Lijstalinea"/>
        <w:ind w:left="426" w:hanging="426"/>
      </w:pPr>
      <w:r>
        <w:t>b.</w:t>
      </w:r>
      <w:r>
        <w:tab/>
        <w:t>Vergrijzing betekent dat de generatie van de 65-plussers sterker groeit dan de beroepsbevolking.</w:t>
      </w:r>
    </w:p>
    <w:p w14:paraId="2040871A" w14:textId="77777777" w:rsidR="00777D54" w:rsidRDefault="00777D54" w:rsidP="00777D54">
      <w:pPr>
        <w:pStyle w:val="Lijstalinea"/>
        <w:ind w:left="426" w:hanging="426"/>
      </w:pPr>
    </w:p>
    <w:p w14:paraId="668BB77A" w14:textId="77777777" w:rsidR="00777D54" w:rsidRDefault="00777D54" w:rsidP="00777D54">
      <w:pPr>
        <w:pStyle w:val="Lijstalinea"/>
        <w:ind w:left="426" w:hanging="426"/>
      </w:pPr>
      <w:r>
        <w:t>c.</w:t>
      </w:r>
      <w:r>
        <w:tab/>
        <w:t>Nee, deze maatregel treft niet de generaties die op dit moment gepensioneerd zijn. Naarmate de ophoging van de pensioenleeftijd meer geleidelijk over een langere periode haar beslag krijgt, komt een groter deel van de rekening terecht bij jonge en toekomstige generaties.</w:t>
      </w:r>
      <w:bookmarkStart w:id="0" w:name="_GoBack"/>
      <w:bookmarkEnd w:id="0"/>
    </w:p>
    <w:sectPr w:rsidR="00777D54" w:rsidSect="0033492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F4CF7" w14:textId="77777777" w:rsidR="00923205" w:rsidRDefault="00923205" w:rsidP="00C66A84">
      <w:r>
        <w:separator/>
      </w:r>
    </w:p>
  </w:endnote>
  <w:endnote w:type="continuationSeparator" w:id="0">
    <w:p w14:paraId="7ECEDFB0" w14:textId="77777777" w:rsidR="00923205" w:rsidRDefault="00923205" w:rsidP="00C6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748AF" w14:textId="77777777" w:rsidR="00923205" w:rsidRDefault="00923205" w:rsidP="00C66A84">
      <w:r>
        <w:separator/>
      </w:r>
    </w:p>
  </w:footnote>
  <w:footnote w:type="continuationSeparator" w:id="0">
    <w:p w14:paraId="2B82E818" w14:textId="77777777" w:rsidR="00923205" w:rsidRDefault="00923205" w:rsidP="00C66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E318" w14:textId="77777777" w:rsidR="00C66A84" w:rsidRPr="00F50C97" w:rsidRDefault="000D6288" w:rsidP="00F50C97">
    <w:pPr>
      <w:pStyle w:val="Koptekst"/>
      <w:jc w:val="right"/>
      <w:rPr>
        <w:rFonts w:cs="Arial"/>
        <w:sz w:val="16"/>
        <w:szCs w:val="16"/>
      </w:rPr>
    </w:pPr>
    <w:r w:rsidRPr="00452A47">
      <w:rPr>
        <w:noProof/>
        <w:sz w:val="20"/>
        <w:szCs w:val="20"/>
      </w:rPr>
      <w:drawing>
        <wp:inline distT="0" distB="0" distL="0" distR="0" wp14:anchorId="5A730CE2" wp14:editId="0AC2325D">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F50C97" w:rsidRPr="00BE1329">
      <w:rPr>
        <w:rFonts w:cs="Arial"/>
        <w:sz w:val="16"/>
        <w:szCs w:val="16"/>
      </w:rPr>
      <w:t xml:space="preserve"> </w:t>
    </w:r>
    <w:r w:rsidR="00F50C97" w:rsidRPr="00E33D6C">
      <w:rPr>
        <w:rFonts w:cs="Arial"/>
        <w:sz w:val="18"/>
        <w:szCs w:val="18"/>
      </w:rPr>
      <w:t>Jong en Oud h</w:t>
    </w:r>
    <w:r w:rsidR="003105FA">
      <w:rPr>
        <w:rFonts w:cs="Arial"/>
        <w:sz w:val="18"/>
        <w:szCs w:val="18"/>
      </w:rPr>
      <w:t>7</w:t>
    </w:r>
    <w:r w:rsidR="00F50C97" w:rsidRPr="00E33D6C">
      <w:rPr>
        <w:rFonts w:cs="Arial"/>
        <w:sz w:val="18"/>
        <w:szCs w:val="18"/>
      </w:rPr>
      <w:t xml:space="preserve"> extra oefenopgave</w:t>
    </w:r>
    <w:r w:rsidR="00E33D6C" w:rsidRPr="00E33D6C">
      <w:rPr>
        <w:rFonts w:cs="Arial"/>
        <w:sz w:val="18"/>
        <w:szCs w:val="18"/>
      </w:rPr>
      <w:t>n website</w:t>
    </w:r>
    <w:r w:rsidR="00F50C97">
      <w:rPr>
        <w:rFonts w:cs="Arial"/>
        <w:sz w:val="16"/>
        <w:szCs w:val="16"/>
      </w:rPr>
      <w:tab/>
    </w:r>
    <w:r w:rsidR="00F50C97">
      <w:rPr>
        <w:rFonts w:cs="Arial"/>
        <w:sz w:val="16"/>
        <w:szCs w:val="16"/>
      </w:rPr>
      <w:tab/>
    </w:r>
    <w:r w:rsidR="00850E16" w:rsidRPr="00E33D6C">
      <w:rPr>
        <w:rFonts w:cs="Arial"/>
        <w:sz w:val="18"/>
        <w:szCs w:val="18"/>
      </w:rPr>
      <w:fldChar w:fldCharType="begin"/>
    </w:r>
    <w:r w:rsidR="00F50C97" w:rsidRPr="00E33D6C">
      <w:rPr>
        <w:rFonts w:cs="Arial"/>
        <w:sz w:val="18"/>
        <w:szCs w:val="18"/>
      </w:rPr>
      <w:instrText>PAGE   \* MERGEFORMAT</w:instrText>
    </w:r>
    <w:r w:rsidR="00850E16" w:rsidRPr="00E33D6C">
      <w:rPr>
        <w:rFonts w:cs="Arial"/>
        <w:sz w:val="18"/>
        <w:szCs w:val="18"/>
      </w:rPr>
      <w:fldChar w:fldCharType="separate"/>
    </w:r>
    <w:r w:rsidR="0078469D">
      <w:rPr>
        <w:rFonts w:cs="Arial"/>
        <w:noProof/>
        <w:sz w:val="18"/>
        <w:szCs w:val="18"/>
      </w:rPr>
      <w:t>2</w:t>
    </w:r>
    <w:r w:rsidR="00850E16" w:rsidRPr="00E33D6C">
      <w:rPr>
        <w:rFonts w:cs="Arial"/>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84"/>
    <w:rsid w:val="00005096"/>
    <w:rsid w:val="00057A53"/>
    <w:rsid w:val="00080AAB"/>
    <w:rsid w:val="00082499"/>
    <w:rsid w:val="00086EE4"/>
    <w:rsid w:val="00092809"/>
    <w:rsid w:val="000A2C2E"/>
    <w:rsid w:val="000C53C1"/>
    <w:rsid w:val="000D6288"/>
    <w:rsid w:val="000F4E85"/>
    <w:rsid w:val="00113206"/>
    <w:rsid w:val="00131C15"/>
    <w:rsid w:val="00170E35"/>
    <w:rsid w:val="0020010B"/>
    <w:rsid w:val="00200CC2"/>
    <w:rsid w:val="002803AA"/>
    <w:rsid w:val="003105FA"/>
    <w:rsid w:val="00312F04"/>
    <w:rsid w:val="0033492E"/>
    <w:rsid w:val="00360F42"/>
    <w:rsid w:val="00371759"/>
    <w:rsid w:val="003E6879"/>
    <w:rsid w:val="00414E4F"/>
    <w:rsid w:val="00462E6E"/>
    <w:rsid w:val="004C2274"/>
    <w:rsid w:val="004C3259"/>
    <w:rsid w:val="004D3AA6"/>
    <w:rsid w:val="005837CF"/>
    <w:rsid w:val="005B26BB"/>
    <w:rsid w:val="005E2083"/>
    <w:rsid w:val="005E3409"/>
    <w:rsid w:val="00620393"/>
    <w:rsid w:val="00650152"/>
    <w:rsid w:val="00651C1F"/>
    <w:rsid w:val="006C197A"/>
    <w:rsid w:val="006D68DB"/>
    <w:rsid w:val="006E2C72"/>
    <w:rsid w:val="00777D54"/>
    <w:rsid w:val="0078469D"/>
    <w:rsid w:val="008073AA"/>
    <w:rsid w:val="0081752B"/>
    <w:rsid w:val="00850E16"/>
    <w:rsid w:val="00892230"/>
    <w:rsid w:val="008A5FAB"/>
    <w:rsid w:val="00923205"/>
    <w:rsid w:val="00953B28"/>
    <w:rsid w:val="009C7545"/>
    <w:rsid w:val="009F3E3D"/>
    <w:rsid w:val="00AA57B8"/>
    <w:rsid w:val="00B00A19"/>
    <w:rsid w:val="00B72874"/>
    <w:rsid w:val="00BA3EE6"/>
    <w:rsid w:val="00BA7467"/>
    <w:rsid w:val="00C44C06"/>
    <w:rsid w:val="00C66A84"/>
    <w:rsid w:val="00C86E41"/>
    <w:rsid w:val="00C94E08"/>
    <w:rsid w:val="00CE0AC6"/>
    <w:rsid w:val="00CE2D2A"/>
    <w:rsid w:val="00CE444E"/>
    <w:rsid w:val="00CF2B2E"/>
    <w:rsid w:val="00D53993"/>
    <w:rsid w:val="00D92343"/>
    <w:rsid w:val="00DA7B8D"/>
    <w:rsid w:val="00DC3AD0"/>
    <w:rsid w:val="00DF123B"/>
    <w:rsid w:val="00E21E42"/>
    <w:rsid w:val="00E33D6C"/>
    <w:rsid w:val="00E47097"/>
    <w:rsid w:val="00E70A84"/>
    <w:rsid w:val="00E82EA0"/>
    <w:rsid w:val="00E85032"/>
    <w:rsid w:val="00F139A1"/>
    <w:rsid w:val="00F41D62"/>
    <w:rsid w:val="00F46AB1"/>
    <w:rsid w:val="00F50C97"/>
    <w:rsid w:val="00FC2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11B6"/>
  <w15:docId w15:val="{DEDA50CF-127D-4F96-9F91-BBC7F9C2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3D6C"/>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Calibri" w:hAnsi="Calibr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link w:val="Kop1"/>
    <w:rsid w:val="00BA3EE6"/>
    <w:rPr>
      <w:b/>
      <w:sz w:val="28"/>
      <w:u w:val="single"/>
    </w:rPr>
  </w:style>
  <w:style w:type="character" w:customStyle="1" w:styleId="Kop2Char">
    <w:name w:val="Kop 2 Char"/>
    <w:link w:val="Kop2"/>
    <w:rsid w:val="00BA3EE6"/>
    <w:rPr>
      <w:sz w:val="28"/>
    </w:rPr>
  </w:style>
  <w:style w:type="character" w:customStyle="1" w:styleId="Kop4Char">
    <w:name w:val="Kop 4 Char"/>
    <w:link w:val="Kop4"/>
    <w:semiHidden/>
    <w:rsid w:val="00BA3EE6"/>
    <w:rPr>
      <w:rFonts w:ascii="Calibri" w:eastAsia="Times New Roman" w:hAnsi="Calibri" w:cs="Times New Roman"/>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link w:val="Geenafstand"/>
    <w:uiPriority w:val="1"/>
    <w:rsid w:val="00BA3EE6"/>
    <w:rPr>
      <w:rFonts w:eastAsia="Calibri"/>
      <w:sz w:val="24"/>
      <w:szCs w:val="24"/>
    </w:rPr>
  </w:style>
  <w:style w:type="character" w:customStyle="1" w:styleId="Kop3Char">
    <w:name w:val="Kop 3 Char"/>
    <w:link w:val="Kop3"/>
    <w:rsid w:val="00BA3EE6"/>
    <w:rPr>
      <w:rFonts w:ascii="Arial" w:hAnsi="Arial" w:cs="Arial"/>
      <w:b/>
      <w:bCs/>
      <w:sz w:val="26"/>
      <w:szCs w:val="26"/>
    </w:rPr>
  </w:style>
  <w:style w:type="character" w:customStyle="1" w:styleId="Kop5Char">
    <w:name w:val="Kop 5 Char"/>
    <w:link w:val="Kop5"/>
    <w:rsid w:val="00BA3EE6"/>
    <w:rPr>
      <w:b/>
      <w:bCs/>
      <w:i/>
      <w:iCs/>
      <w:sz w:val="26"/>
      <w:szCs w:val="26"/>
    </w:rPr>
  </w:style>
  <w:style w:type="paragraph" w:styleId="Lijstalinea">
    <w:name w:val="List Paragraph"/>
    <w:aliases w:val="Lijstpunt"/>
    <w:basedOn w:val="Standaard"/>
    <w:uiPriority w:val="34"/>
    <w:qFormat/>
    <w:rsid w:val="00BA3EE6"/>
    <w:pPr>
      <w:ind w:left="720"/>
      <w:contextualSpacing/>
    </w:pPr>
  </w:style>
  <w:style w:type="table" w:styleId="Tabelraster">
    <w:name w:val="Table Grid"/>
    <w:basedOn w:val="Standaardtabel"/>
    <w:uiPriority w:val="59"/>
    <w:rsid w:val="00C66A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C66A84"/>
    <w:pPr>
      <w:tabs>
        <w:tab w:val="center" w:pos="4536"/>
        <w:tab w:val="right" w:pos="9072"/>
      </w:tabs>
    </w:pPr>
  </w:style>
  <w:style w:type="character" w:customStyle="1" w:styleId="KoptekstChar">
    <w:name w:val="Koptekst Char"/>
    <w:link w:val="Koptekst"/>
    <w:uiPriority w:val="99"/>
    <w:rsid w:val="00C66A84"/>
    <w:rPr>
      <w:sz w:val="24"/>
      <w:szCs w:val="24"/>
    </w:rPr>
  </w:style>
  <w:style w:type="paragraph" w:styleId="Voettekst">
    <w:name w:val="footer"/>
    <w:basedOn w:val="Standaard"/>
    <w:link w:val="VoettekstChar"/>
    <w:uiPriority w:val="99"/>
    <w:unhideWhenUsed/>
    <w:rsid w:val="00C66A84"/>
    <w:pPr>
      <w:tabs>
        <w:tab w:val="center" w:pos="4536"/>
        <w:tab w:val="right" w:pos="9072"/>
      </w:tabs>
    </w:pPr>
  </w:style>
  <w:style w:type="character" w:customStyle="1" w:styleId="VoettekstChar">
    <w:name w:val="Voettekst Char"/>
    <w:link w:val="Voettekst"/>
    <w:uiPriority w:val="99"/>
    <w:rsid w:val="00C66A84"/>
    <w:rPr>
      <w:sz w:val="24"/>
      <w:szCs w:val="24"/>
    </w:rPr>
  </w:style>
  <w:style w:type="paragraph" w:styleId="Ballontekst">
    <w:name w:val="Balloon Text"/>
    <w:basedOn w:val="Standaard"/>
    <w:link w:val="BallontekstChar"/>
    <w:uiPriority w:val="99"/>
    <w:semiHidden/>
    <w:unhideWhenUsed/>
    <w:rsid w:val="00C66A84"/>
    <w:rPr>
      <w:rFonts w:ascii="Tahoma" w:hAnsi="Tahoma" w:cs="Tahoma"/>
      <w:sz w:val="16"/>
      <w:szCs w:val="16"/>
    </w:rPr>
  </w:style>
  <w:style w:type="character" w:customStyle="1" w:styleId="BallontekstChar">
    <w:name w:val="Ballontekst Char"/>
    <w:link w:val="Ballontekst"/>
    <w:uiPriority w:val="99"/>
    <w:semiHidden/>
    <w:rsid w:val="00C66A84"/>
    <w:rPr>
      <w:rFonts w:ascii="Tahoma" w:hAnsi="Tahoma" w:cs="Tahoma"/>
      <w:sz w:val="16"/>
      <w:szCs w:val="16"/>
    </w:rPr>
  </w:style>
  <w:style w:type="character" w:styleId="Verwijzingopmerking">
    <w:name w:val="annotation reference"/>
    <w:uiPriority w:val="99"/>
    <w:semiHidden/>
    <w:unhideWhenUsed/>
    <w:rsid w:val="009F3E3D"/>
    <w:rPr>
      <w:sz w:val="16"/>
      <w:szCs w:val="16"/>
    </w:rPr>
  </w:style>
  <w:style w:type="paragraph" w:styleId="Tekstopmerking">
    <w:name w:val="annotation text"/>
    <w:basedOn w:val="Standaard"/>
    <w:link w:val="TekstopmerkingChar"/>
    <w:uiPriority w:val="99"/>
    <w:semiHidden/>
    <w:unhideWhenUsed/>
    <w:rsid w:val="009F3E3D"/>
    <w:rPr>
      <w:sz w:val="20"/>
      <w:szCs w:val="20"/>
    </w:rPr>
  </w:style>
  <w:style w:type="character" w:customStyle="1" w:styleId="TekstopmerkingChar">
    <w:name w:val="Tekst opmerking Char"/>
    <w:basedOn w:val="Standaardalinea-lettertype"/>
    <w:link w:val="Tekstopmerking"/>
    <w:uiPriority w:val="99"/>
    <w:semiHidden/>
    <w:rsid w:val="009F3E3D"/>
  </w:style>
  <w:style w:type="paragraph" w:styleId="Onderwerpvanopmerking">
    <w:name w:val="annotation subject"/>
    <w:basedOn w:val="Tekstopmerking"/>
    <w:next w:val="Tekstopmerking"/>
    <w:link w:val="OnderwerpvanopmerkingChar"/>
    <w:uiPriority w:val="99"/>
    <w:semiHidden/>
    <w:unhideWhenUsed/>
    <w:rsid w:val="009F3E3D"/>
    <w:rPr>
      <w:b/>
      <w:bCs/>
    </w:rPr>
  </w:style>
  <w:style w:type="character" w:customStyle="1" w:styleId="OnderwerpvanopmerkingChar">
    <w:name w:val="Onderwerp van opmerking Char"/>
    <w:link w:val="Onderwerpvanopmerking"/>
    <w:uiPriority w:val="99"/>
    <w:semiHidden/>
    <w:rsid w:val="009F3E3D"/>
    <w:rPr>
      <w:b/>
      <w:bCs/>
    </w:rPr>
  </w:style>
  <w:style w:type="paragraph" w:styleId="Revisie">
    <w:name w:val="Revision"/>
    <w:hidden/>
    <w:uiPriority w:val="99"/>
    <w:semiHidden/>
    <w:rsid w:val="00777D5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609</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Oefenopdracht hoofdstuk 1 J&amp;O</vt:lpstr>
    </vt:vector>
  </TitlesOfParts>
  <Company>Hewlett-Packard</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Oefenopdracht hoofdstuk 1 J&amp;O</dc:title>
  <dc:creator>LWEObv</dc:creator>
  <cp:lastModifiedBy>LWEO</cp:lastModifiedBy>
  <cp:revision>3</cp:revision>
  <dcterms:created xsi:type="dcterms:W3CDTF">2025-09-01T09:24:00Z</dcterms:created>
  <dcterms:modified xsi:type="dcterms:W3CDTF">2025-09-01T09:32:00Z</dcterms:modified>
</cp:coreProperties>
</file>