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AB6DA" w14:textId="77777777" w:rsidR="00E96237" w:rsidRPr="00A7433B" w:rsidRDefault="00BA20C8" w:rsidP="00E96237">
      <w:pPr>
        <w:rPr>
          <w:b/>
          <w:bCs/>
        </w:rPr>
      </w:pPr>
      <w:r w:rsidRPr="00A7433B">
        <w:rPr>
          <w:b/>
          <w:bCs/>
        </w:rPr>
        <w:fldChar w:fldCharType="begin"/>
      </w:r>
      <w:r w:rsidR="00E96237" w:rsidRPr="00A7433B">
        <w:rPr>
          <w:b/>
          <w:bCs/>
        </w:rPr>
        <w:instrText xml:space="preserve"> SEQ CHAPTER \h \r 1</w:instrText>
      </w:r>
      <w:r w:rsidRPr="00A7433B">
        <w:rPr>
          <w:b/>
        </w:rPr>
        <w:fldChar w:fldCharType="end"/>
      </w:r>
      <w:r w:rsidR="00E96237">
        <w:rPr>
          <w:b/>
          <w:bCs/>
        </w:rPr>
        <w:t>Opgave 1.1</w:t>
      </w:r>
    </w:p>
    <w:p w14:paraId="6C158F2D" w14:textId="77777777" w:rsidR="00E96237" w:rsidRPr="00A7433B" w:rsidRDefault="00E96237" w:rsidP="00E96237">
      <w:r w:rsidRPr="00A7433B">
        <w:t>In een land richt de Centrale Bank (CB) zich op prijsstabilitei</w:t>
      </w:r>
      <w:r>
        <w:t>t. Een inflatie van maximaal 2</w:t>
      </w:r>
      <w:r w:rsidRPr="00A7433B">
        <w:t xml:space="preserve">% per jaar wordt in dat kader aanvaardbaar geacht. De CB maakt </w:t>
      </w:r>
      <w:r>
        <w:t xml:space="preserve">bij haar monetaire beleid </w:t>
      </w:r>
      <w:r w:rsidRPr="00A7433B">
        <w:t>gebruik van openmarkt</w:t>
      </w:r>
      <w:r>
        <w:t xml:space="preserve">transacties </w:t>
      </w:r>
      <w:r w:rsidRPr="00A7433B">
        <w:t xml:space="preserve">waarbij </w:t>
      </w:r>
      <w:r>
        <w:t xml:space="preserve">staatsobligaties </w:t>
      </w:r>
      <w:r w:rsidRPr="00A7433B">
        <w:t>verhandeld worden tussen de algemene banken en de CB.</w:t>
      </w:r>
    </w:p>
    <w:p w14:paraId="1222A437" w14:textId="77777777" w:rsidR="00E96237" w:rsidRPr="00A7433B" w:rsidRDefault="00E96237" w:rsidP="00E96237"/>
    <w:p w14:paraId="560296FD" w14:textId="363CB1B5" w:rsidR="00E96237" w:rsidRDefault="00E96237" w:rsidP="00E96237">
      <w:r w:rsidRPr="00A7433B">
        <w:t xml:space="preserve">In het jaarverslag van de </w:t>
      </w:r>
      <w:r>
        <w:t xml:space="preserve">CB </w:t>
      </w:r>
      <w:r w:rsidRPr="00A7433B">
        <w:t>over</w:t>
      </w:r>
      <w:r>
        <w:t xml:space="preserve"> </w:t>
      </w:r>
      <w:r w:rsidRPr="005B48AD">
        <w:t>20</w:t>
      </w:r>
      <w:r w:rsidR="009D6C1D" w:rsidRPr="005B48AD">
        <w:t>24</w:t>
      </w:r>
      <w:r w:rsidRPr="00A7433B">
        <w:t xml:space="preserve"> staan </w:t>
      </w:r>
      <w:r>
        <w:t xml:space="preserve">onder andere </w:t>
      </w:r>
      <w:r w:rsidRPr="00A7433B">
        <w:t xml:space="preserve">de </w:t>
      </w:r>
      <w:r>
        <w:t xml:space="preserve">volgende </w:t>
      </w:r>
      <w:r w:rsidRPr="00A7433B">
        <w:t>gegevens van dit land van het afgelopen jaar (zie tabel</w:t>
      </w:r>
      <w:r>
        <w:t xml:space="preserve"> 1</w:t>
      </w:r>
      <w:r w:rsidRPr="00A7433B">
        <w:t>).</w:t>
      </w:r>
    </w:p>
    <w:p w14:paraId="3C674CEA" w14:textId="77777777" w:rsidR="00E96237" w:rsidRPr="00A7433B" w:rsidRDefault="00E96237" w:rsidP="00E96237"/>
    <w:p w14:paraId="61FE8127" w14:textId="77777777" w:rsidR="00E96237" w:rsidRPr="0046617C" w:rsidRDefault="00E96237" w:rsidP="00E96237">
      <w:pPr>
        <w:rPr>
          <w:b/>
        </w:rPr>
      </w:pPr>
      <w:r>
        <w:rPr>
          <w:b/>
        </w:rPr>
        <w:t>tabel 1</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39"/>
        <w:gridCol w:w="1476"/>
        <w:gridCol w:w="1516"/>
        <w:gridCol w:w="1455"/>
        <w:gridCol w:w="1476"/>
      </w:tblGrid>
      <w:tr w:rsidR="00E96237" w:rsidRPr="00A7433B" w14:paraId="7F1EC7E6" w14:textId="77777777" w:rsidTr="00E96237">
        <w:tc>
          <w:tcPr>
            <w:tcW w:w="0" w:type="auto"/>
          </w:tcPr>
          <w:p w14:paraId="7BAD8E54" w14:textId="77777777" w:rsidR="00E96237" w:rsidRPr="00A7433B" w:rsidRDefault="00E96237" w:rsidP="006805BC">
            <w:pPr>
              <w:rPr>
                <w:b/>
              </w:rPr>
            </w:pPr>
          </w:p>
        </w:tc>
        <w:tc>
          <w:tcPr>
            <w:tcW w:w="0" w:type="auto"/>
            <w:vAlign w:val="center"/>
            <w:hideMark/>
          </w:tcPr>
          <w:p w14:paraId="4C3A3290" w14:textId="77777777" w:rsidR="00E96237" w:rsidRPr="00A7433B" w:rsidRDefault="00E96237" w:rsidP="00E96237">
            <w:pPr>
              <w:rPr>
                <w:b/>
              </w:rPr>
            </w:pPr>
            <w:r w:rsidRPr="00A7433B">
              <w:rPr>
                <w:b/>
              </w:rPr>
              <w:t>eerste kwartaal</w:t>
            </w:r>
          </w:p>
        </w:tc>
        <w:tc>
          <w:tcPr>
            <w:tcW w:w="0" w:type="auto"/>
            <w:vAlign w:val="center"/>
            <w:hideMark/>
          </w:tcPr>
          <w:p w14:paraId="6FB29680" w14:textId="77777777" w:rsidR="00E96237" w:rsidRPr="00A7433B" w:rsidRDefault="00E96237" w:rsidP="00E96237">
            <w:pPr>
              <w:rPr>
                <w:b/>
              </w:rPr>
            </w:pPr>
            <w:r w:rsidRPr="00A7433B">
              <w:rPr>
                <w:b/>
              </w:rPr>
              <w:t>tweede kwartaal</w:t>
            </w:r>
          </w:p>
        </w:tc>
        <w:tc>
          <w:tcPr>
            <w:tcW w:w="0" w:type="auto"/>
            <w:vAlign w:val="center"/>
            <w:hideMark/>
          </w:tcPr>
          <w:p w14:paraId="3144A4B0" w14:textId="77777777" w:rsidR="00E96237" w:rsidRPr="00A7433B" w:rsidRDefault="00E96237" w:rsidP="00E96237">
            <w:pPr>
              <w:rPr>
                <w:b/>
              </w:rPr>
            </w:pPr>
            <w:r w:rsidRPr="00A7433B">
              <w:rPr>
                <w:b/>
              </w:rPr>
              <w:t>derde kwartaal</w:t>
            </w:r>
          </w:p>
        </w:tc>
        <w:tc>
          <w:tcPr>
            <w:tcW w:w="0" w:type="auto"/>
            <w:vAlign w:val="center"/>
            <w:hideMark/>
          </w:tcPr>
          <w:p w14:paraId="316EB4E7" w14:textId="77777777" w:rsidR="00E96237" w:rsidRPr="00A7433B" w:rsidRDefault="00E96237" w:rsidP="00E96237">
            <w:pPr>
              <w:rPr>
                <w:b/>
              </w:rPr>
            </w:pPr>
            <w:r w:rsidRPr="00A7433B">
              <w:rPr>
                <w:b/>
              </w:rPr>
              <w:t>vierde kwartaal</w:t>
            </w:r>
          </w:p>
        </w:tc>
      </w:tr>
      <w:tr w:rsidR="00E96237" w:rsidRPr="00A7433B" w14:paraId="6DF83F2F" w14:textId="77777777" w:rsidTr="00E96237">
        <w:tc>
          <w:tcPr>
            <w:tcW w:w="0" w:type="auto"/>
          </w:tcPr>
          <w:p w14:paraId="5AE7B56B" w14:textId="77777777" w:rsidR="00E96237" w:rsidRPr="00A7433B" w:rsidRDefault="00E96237" w:rsidP="006805BC">
            <w:pPr>
              <w:rPr>
                <w:b/>
                <w:bCs/>
              </w:rPr>
            </w:pPr>
          </w:p>
        </w:tc>
        <w:tc>
          <w:tcPr>
            <w:tcW w:w="0" w:type="auto"/>
            <w:gridSpan w:val="4"/>
            <w:vAlign w:val="center"/>
            <w:hideMark/>
          </w:tcPr>
          <w:p w14:paraId="0627B53F" w14:textId="77777777" w:rsidR="00E96237" w:rsidRDefault="00E96237" w:rsidP="00E96237">
            <w:pPr>
              <w:rPr>
                <w:b/>
              </w:rPr>
            </w:pPr>
            <w:r w:rsidRPr="00A7433B">
              <w:rPr>
                <w:b/>
              </w:rPr>
              <w:t>% verandering ten opzicht</w:t>
            </w:r>
            <w:r>
              <w:rPr>
                <w:b/>
              </w:rPr>
              <w:t xml:space="preserve">e van </w:t>
            </w:r>
          </w:p>
          <w:p w14:paraId="3C60F087" w14:textId="77777777" w:rsidR="00E96237" w:rsidRPr="00A7433B" w:rsidRDefault="00E96237" w:rsidP="00E96237">
            <w:pPr>
              <w:rPr>
                <w:b/>
              </w:rPr>
            </w:pPr>
            <w:r>
              <w:rPr>
                <w:b/>
              </w:rPr>
              <w:t>voorgaande kwartaal</w:t>
            </w:r>
          </w:p>
        </w:tc>
      </w:tr>
      <w:tr w:rsidR="00E96237" w:rsidRPr="00A7433B" w14:paraId="058C0552" w14:textId="77777777" w:rsidTr="00E96237">
        <w:tc>
          <w:tcPr>
            <w:tcW w:w="0" w:type="auto"/>
            <w:hideMark/>
          </w:tcPr>
          <w:p w14:paraId="679CED9A" w14:textId="77777777" w:rsidR="00E96237" w:rsidRPr="00A7433B" w:rsidRDefault="00E96237" w:rsidP="006805BC">
            <w:r w:rsidRPr="00A7433B">
              <w:t>reëel bruto binnenlands product</w:t>
            </w:r>
          </w:p>
        </w:tc>
        <w:tc>
          <w:tcPr>
            <w:tcW w:w="0" w:type="auto"/>
            <w:vAlign w:val="center"/>
            <w:hideMark/>
          </w:tcPr>
          <w:p w14:paraId="0A540CC8" w14:textId="77777777" w:rsidR="00E96237" w:rsidRPr="00A7433B" w:rsidRDefault="00E96237" w:rsidP="00E96237">
            <w:pPr>
              <w:jc w:val="center"/>
            </w:pPr>
            <w:r>
              <w:t>1,0</w:t>
            </w:r>
          </w:p>
        </w:tc>
        <w:tc>
          <w:tcPr>
            <w:tcW w:w="0" w:type="auto"/>
            <w:vAlign w:val="center"/>
            <w:hideMark/>
          </w:tcPr>
          <w:p w14:paraId="557B1458" w14:textId="77777777" w:rsidR="00E96237" w:rsidRPr="00A7433B" w:rsidRDefault="00E96237" w:rsidP="00E96237">
            <w:pPr>
              <w:jc w:val="center"/>
            </w:pPr>
            <w:r>
              <w:t>0,7</w:t>
            </w:r>
          </w:p>
        </w:tc>
        <w:tc>
          <w:tcPr>
            <w:tcW w:w="0" w:type="auto"/>
            <w:vAlign w:val="center"/>
            <w:hideMark/>
          </w:tcPr>
          <w:p w14:paraId="6DC85CF1" w14:textId="77777777" w:rsidR="00E96237" w:rsidRPr="00A7433B" w:rsidRDefault="00E96237" w:rsidP="00E96237">
            <w:pPr>
              <w:jc w:val="center"/>
            </w:pPr>
            <w:r>
              <w:t>0,4</w:t>
            </w:r>
          </w:p>
        </w:tc>
        <w:tc>
          <w:tcPr>
            <w:tcW w:w="0" w:type="auto"/>
            <w:vAlign w:val="center"/>
            <w:hideMark/>
          </w:tcPr>
          <w:p w14:paraId="3AA275BF" w14:textId="77777777" w:rsidR="00E96237" w:rsidRPr="00A7433B" w:rsidRDefault="00E96237" w:rsidP="00E96237">
            <w:pPr>
              <w:jc w:val="center"/>
            </w:pPr>
            <w:r>
              <w:t>−</w:t>
            </w:r>
            <w:r w:rsidRPr="00A7433B">
              <w:t>0,1</w:t>
            </w:r>
          </w:p>
        </w:tc>
      </w:tr>
      <w:tr w:rsidR="00E96237" w:rsidRPr="00A7433B" w14:paraId="51EEAEC5" w14:textId="77777777" w:rsidTr="00E96237">
        <w:tc>
          <w:tcPr>
            <w:tcW w:w="0" w:type="auto"/>
            <w:hideMark/>
          </w:tcPr>
          <w:p w14:paraId="67B4C19A" w14:textId="77777777" w:rsidR="00E96237" w:rsidRPr="00A7433B" w:rsidRDefault="00E96237" w:rsidP="006805BC">
            <w:r w:rsidRPr="00A7433B">
              <w:t>consumentenprijsindex (CPI)</w:t>
            </w:r>
          </w:p>
        </w:tc>
        <w:tc>
          <w:tcPr>
            <w:tcW w:w="0" w:type="auto"/>
            <w:vAlign w:val="center"/>
            <w:hideMark/>
          </w:tcPr>
          <w:p w14:paraId="1C740E3C" w14:textId="77777777" w:rsidR="00E96237" w:rsidRPr="00A7433B" w:rsidRDefault="00E96237" w:rsidP="00E96237">
            <w:pPr>
              <w:jc w:val="center"/>
            </w:pPr>
            <w:r>
              <w:t>0,9</w:t>
            </w:r>
          </w:p>
        </w:tc>
        <w:tc>
          <w:tcPr>
            <w:tcW w:w="0" w:type="auto"/>
            <w:vAlign w:val="center"/>
            <w:hideMark/>
          </w:tcPr>
          <w:p w14:paraId="2B52CCBE" w14:textId="77777777" w:rsidR="00E96237" w:rsidRPr="00A7433B" w:rsidRDefault="00E96237" w:rsidP="00E96237">
            <w:pPr>
              <w:jc w:val="center"/>
            </w:pPr>
            <w:r>
              <w:t>0,7</w:t>
            </w:r>
          </w:p>
        </w:tc>
        <w:tc>
          <w:tcPr>
            <w:tcW w:w="0" w:type="auto"/>
            <w:vAlign w:val="center"/>
            <w:hideMark/>
          </w:tcPr>
          <w:p w14:paraId="228570AA" w14:textId="77777777" w:rsidR="00E96237" w:rsidRPr="00A7433B" w:rsidRDefault="00E96237" w:rsidP="00E96237">
            <w:pPr>
              <w:jc w:val="center"/>
            </w:pPr>
            <w:r>
              <w:t>0,5</w:t>
            </w:r>
          </w:p>
        </w:tc>
        <w:tc>
          <w:tcPr>
            <w:tcW w:w="0" w:type="auto"/>
            <w:vAlign w:val="center"/>
            <w:hideMark/>
          </w:tcPr>
          <w:p w14:paraId="743FE2DA" w14:textId="77777777" w:rsidR="00E96237" w:rsidRPr="00A7433B" w:rsidRDefault="00E96237" w:rsidP="00E96237">
            <w:pPr>
              <w:jc w:val="center"/>
            </w:pPr>
            <w:r>
              <w:t>0,9</w:t>
            </w:r>
          </w:p>
        </w:tc>
      </w:tr>
      <w:tr w:rsidR="00E96237" w:rsidRPr="00A7433B" w14:paraId="18768336" w14:textId="77777777" w:rsidTr="00E96237">
        <w:tc>
          <w:tcPr>
            <w:tcW w:w="0" w:type="auto"/>
            <w:hideMark/>
          </w:tcPr>
          <w:p w14:paraId="4CB392DB" w14:textId="77777777" w:rsidR="00E96237" w:rsidRPr="00A7433B" w:rsidRDefault="00E96237" w:rsidP="006805BC">
            <w:r>
              <w:t xml:space="preserve">maatschappelijke </w:t>
            </w:r>
            <w:r w:rsidRPr="00A7433B">
              <w:t>geldhoeveelheid</w:t>
            </w:r>
          </w:p>
        </w:tc>
        <w:tc>
          <w:tcPr>
            <w:tcW w:w="0" w:type="auto"/>
            <w:vAlign w:val="center"/>
            <w:hideMark/>
          </w:tcPr>
          <w:p w14:paraId="2015CCDA" w14:textId="77777777" w:rsidR="00E96237" w:rsidRPr="00A7433B" w:rsidRDefault="00E96237" w:rsidP="00E96237">
            <w:pPr>
              <w:jc w:val="center"/>
            </w:pPr>
            <w:r>
              <w:t>0,6</w:t>
            </w:r>
          </w:p>
        </w:tc>
        <w:tc>
          <w:tcPr>
            <w:tcW w:w="0" w:type="auto"/>
            <w:vAlign w:val="center"/>
            <w:hideMark/>
          </w:tcPr>
          <w:p w14:paraId="7F60933E" w14:textId="77777777" w:rsidR="00E96237" w:rsidRPr="00A7433B" w:rsidRDefault="00E96237" w:rsidP="00E96237">
            <w:pPr>
              <w:jc w:val="center"/>
            </w:pPr>
            <w:r>
              <w:t>0,1</w:t>
            </w:r>
          </w:p>
        </w:tc>
        <w:tc>
          <w:tcPr>
            <w:tcW w:w="0" w:type="auto"/>
            <w:vAlign w:val="center"/>
            <w:hideMark/>
          </w:tcPr>
          <w:p w14:paraId="36FDBFBD" w14:textId="77777777" w:rsidR="00E96237" w:rsidRPr="00A7433B" w:rsidRDefault="00E96237" w:rsidP="00E96237">
            <w:pPr>
              <w:jc w:val="center"/>
            </w:pPr>
            <w:r>
              <w:t>−0,4</w:t>
            </w:r>
          </w:p>
        </w:tc>
        <w:tc>
          <w:tcPr>
            <w:tcW w:w="0" w:type="auto"/>
            <w:vAlign w:val="center"/>
            <w:hideMark/>
          </w:tcPr>
          <w:p w14:paraId="3FB18635" w14:textId="77777777" w:rsidR="00E96237" w:rsidRPr="00A7433B" w:rsidRDefault="00E96237" w:rsidP="00E96237">
            <w:pPr>
              <w:jc w:val="center"/>
            </w:pPr>
            <w:r>
              <w:t>−0,6</w:t>
            </w:r>
          </w:p>
        </w:tc>
      </w:tr>
    </w:tbl>
    <w:p w14:paraId="15946DEF" w14:textId="77777777" w:rsidR="00E96237" w:rsidRPr="00A7433B" w:rsidRDefault="00E96237" w:rsidP="00E96237"/>
    <w:p w14:paraId="7A4A2FF4" w14:textId="2F954372" w:rsidR="00E96237" w:rsidRDefault="00E96237" w:rsidP="00E96237">
      <w:r>
        <w:t>Uit tabel 1 valt af te leiden dat het inflatiepercentage in 20</w:t>
      </w:r>
      <w:r w:rsidR="00AD5E95">
        <w:t>24</w:t>
      </w:r>
      <w:r>
        <w:t xml:space="preserve"> boven het door de CB aanvaardbare maximum uitkomt.</w:t>
      </w:r>
    </w:p>
    <w:p w14:paraId="0B1EA472" w14:textId="36FF7A56" w:rsidR="00E96237" w:rsidRDefault="00E96237" w:rsidP="00E96237">
      <w:r>
        <w:t>a. Bereken het inflatiepercentage in 20</w:t>
      </w:r>
      <w:r w:rsidR="00AD5E95">
        <w:t>24</w:t>
      </w:r>
      <w:r>
        <w:t xml:space="preserve"> (in twee decimalen).</w:t>
      </w:r>
    </w:p>
    <w:p w14:paraId="3197662F" w14:textId="77777777" w:rsidR="00E96237" w:rsidRDefault="00E96237" w:rsidP="00E96237"/>
    <w:p w14:paraId="1837D877" w14:textId="07B85B0D" w:rsidR="00E96237" w:rsidRDefault="00E96237" w:rsidP="00E96237">
      <w:r>
        <w:t>Om het inflatiepercentage te laten dalen, heeft de CB in 20</w:t>
      </w:r>
      <w:r w:rsidR="00AD5E95">
        <w:t>24</w:t>
      </w:r>
      <w:r>
        <w:t xml:space="preserve"> openmarkttransacties uitgevoerd om de rente die banken aan het publiek berekenen te laten stijgen.</w:t>
      </w:r>
    </w:p>
    <w:p w14:paraId="31781A55" w14:textId="6F3F54A3" w:rsidR="00E96237" w:rsidRDefault="00E96237" w:rsidP="00E96237">
      <w:r>
        <w:t>b. Welke openmarkttransacties heeft de CB in 20</w:t>
      </w:r>
      <w:r w:rsidR="00AD5E95">
        <w:t>24</w:t>
      </w:r>
      <w:r>
        <w:t xml:space="preserve"> uitgevoerd? Licht het antwoord toe.</w:t>
      </w:r>
    </w:p>
    <w:p w14:paraId="67970532" w14:textId="77777777" w:rsidR="00E96237" w:rsidRDefault="00E96237" w:rsidP="00E96237">
      <w:r>
        <w:t xml:space="preserve">c. Welke invloed heeft een rentestijging op de groei van de maatschappelijke geldhoeveelheid? Licht het antwoord toe. </w:t>
      </w:r>
    </w:p>
    <w:p w14:paraId="27AF3299" w14:textId="77777777" w:rsidR="00E96237" w:rsidRDefault="00E96237" w:rsidP="00E96237"/>
    <w:p w14:paraId="0734CC7C" w14:textId="77777777" w:rsidR="00E96237" w:rsidRDefault="00E96237" w:rsidP="00E96237">
      <w:r>
        <w:t>Een economisch journalist doet naar aanleiding van tabel 1 de volgende twee uitspraken:</w:t>
      </w:r>
    </w:p>
    <w:p w14:paraId="0F956DAB" w14:textId="1A919EE3" w:rsidR="00E96237" w:rsidRDefault="00E96237" w:rsidP="00E96237">
      <w:r>
        <w:t>• Uitspraak 1: Over heel 20</w:t>
      </w:r>
      <w:r w:rsidR="00AD5E95">
        <w:t>24</w:t>
      </w:r>
      <w:r>
        <w:t xml:space="preserve"> bekeken is er sprake van geldvernietiging.</w:t>
      </w:r>
    </w:p>
    <w:p w14:paraId="729CEA92" w14:textId="1A9DF5B2" w:rsidR="00E96237" w:rsidRDefault="00E96237" w:rsidP="00E96237">
      <w:r>
        <w:t>• Uitspraak 2: In 20</w:t>
      </w:r>
      <w:r w:rsidR="00AD5E95">
        <w:t>24</w:t>
      </w:r>
      <w:r>
        <w:t xml:space="preserve"> is er sprake van afnemende bestedingsinflatie en toenemende kosteninflatie.</w:t>
      </w:r>
    </w:p>
    <w:p w14:paraId="08DFDEC0" w14:textId="77777777" w:rsidR="00E96237" w:rsidRDefault="00E96237" w:rsidP="00E96237"/>
    <w:p w14:paraId="0F711B08" w14:textId="77777777" w:rsidR="00E96237" w:rsidRDefault="00E96237" w:rsidP="00E96237">
      <w:r>
        <w:t>d. Onderbouw uitspraak 1 met behulp van tabel 1.</w:t>
      </w:r>
    </w:p>
    <w:p w14:paraId="0126CCFD" w14:textId="77777777" w:rsidR="00E96237" w:rsidRDefault="00E96237" w:rsidP="00E96237">
      <w:r>
        <w:t>e. Onderbouw uitspraak 2 met behulp van tabel 1.</w:t>
      </w:r>
    </w:p>
    <w:p w14:paraId="4892B989" w14:textId="69132848" w:rsidR="007B28B3" w:rsidRDefault="007B28B3">
      <w:pPr>
        <w:spacing w:line="240" w:lineRule="auto"/>
      </w:pPr>
      <w:r>
        <w:br w:type="page"/>
      </w:r>
    </w:p>
    <w:p w14:paraId="3FE49C61" w14:textId="77777777" w:rsidR="00E96237" w:rsidRDefault="00E96237" w:rsidP="00E96237">
      <w:bookmarkStart w:id="0" w:name="_GoBack"/>
      <w:bookmarkEnd w:id="0"/>
      <w:r>
        <w:rPr>
          <w:b/>
        </w:rPr>
        <w:t>Opgave 1.2</w:t>
      </w:r>
    </w:p>
    <w:p w14:paraId="405011DA" w14:textId="37E0249E" w:rsidR="00E96237" w:rsidRPr="00B71FAC" w:rsidRDefault="00E96237" w:rsidP="00E96237">
      <w:r w:rsidRPr="00B71FAC">
        <w:t xml:space="preserve">De coronacrisis </w:t>
      </w:r>
      <w:r w:rsidR="0041430E">
        <w:t>zorgde</w:t>
      </w:r>
      <w:r w:rsidRPr="00B71FAC">
        <w:t xml:space="preserve"> in de eurozone voor</w:t>
      </w:r>
      <w:r w:rsidR="00600A2F">
        <w:t xml:space="preserve"> een sterke daling van</w:t>
      </w:r>
      <w:r w:rsidRPr="00B71FAC">
        <w:t xml:space="preserve"> het bruto binnenlands product (bbp). Het werkloosheidspercentage liep voor de eurozone dan ook op van 7,5% in 2019 tot 8,3% in 2020. Daarnaast daalde de inflatie in de eurozone in 2020 tot </w:t>
      </w:r>
      <w:r w:rsidR="000E5433">
        <w:t>-</w:t>
      </w:r>
      <w:r w:rsidRPr="00B71FAC">
        <w:t>0,3%.</w:t>
      </w:r>
    </w:p>
    <w:p w14:paraId="5AC99F27" w14:textId="77777777" w:rsidR="00E96237" w:rsidRPr="00B71FAC" w:rsidRDefault="00E96237" w:rsidP="00E96237">
      <w:r w:rsidRPr="00B71FAC">
        <w:t xml:space="preserve">Als reactie hierop heeft de Europese Centrale Bank (ECB) de rentetarieven voor banken die geld lenen bij de ECB verlaagd van </w:t>
      </w:r>
      <w:r>
        <w:t>-</w:t>
      </w:r>
      <w:r w:rsidRPr="00B71FAC">
        <w:t xml:space="preserve">0,5% tot </w:t>
      </w:r>
      <w:r>
        <w:t>-</w:t>
      </w:r>
      <w:r w:rsidRPr="00B71FAC">
        <w:t>1</w:t>
      </w:r>
      <w:r w:rsidRPr="007D5CFA">
        <w:t>%. Die -1% geldt overigens alleen als banken het geleende geld op hun beurt weer uitlenen aan gezinnen en bedrijven.</w:t>
      </w:r>
    </w:p>
    <w:p w14:paraId="03EB7589" w14:textId="77777777" w:rsidR="00E96237" w:rsidRPr="00B71FAC" w:rsidRDefault="00E96237" w:rsidP="00E96237"/>
    <w:p w14:paraId="7B08BE7D" w14:textId="77777777" w:rsidR="00E96237" w:rsidRPr="00B71FAC" w:rsidRDefault="00E96237" w:rsidP="00E96237">
      <w:r>
        <w:t>a</w:t>
      </w:r>
      <w:r w:rsidRPr="00B71FAC">
        <w:t>. Leg uit op welke manier de coronacrisis heeft geleid tot een afname van de bestedingsinflatie in de eurozone.</w:t>
      </w:r>
    </w:p>
    <w:p w14:paraId="1980CAAE" w14:textId="77777777" w:rsidR="00E96237" w:rsidRDefault="00E96237" w:rsidP="00E96237">
      <w:r>
        <w:t>b. L</w:t>
      </w:r>
      <w:r w:rsidRPr="00B71FAC">
        <w:t>eg uit dat deflatieverwachtingen het economisch herstel kunnen vertragen.</w:t>
      </w:r>
    </w:p>
    <w:p w14:paraId="7CEC460E" w14:textId="77777777" w:rsidR="00E96237" w:rsidRDefault="00E96237" w:rsidP="00E96237">
      <w:r w:rsidRPr="007D5CFA">
        <w:t>c. Leg uit waarom de rente voor banken die lenen bij de ECB negatiever wordt als het geleende geld wordt uitgeleend aan het publiek.</w:t>
      </w:r>
    </w:p>
    <w:p w14:paraId="3C07D434" w14:textId="77777777" w:rsidR="000F1722" w:rsidRDefault="000F1722" w:rsidP="00E96237"/>
    <w:p w14:paraId="0F4886EB" w14:textId="1873EAA8" w:rsidR="00E96237" w:rsidRDefault="00E96237" w:rsidP="00E96237">
      <w:r>
        <w:t>De ECB schat</w:t>
      </w:r>
      <w:r w:rsidR="000E5433">
        <w:t>te</w:t>
      </w:r>
      <w:r>
        <w:t xml:space="preserve"> in dat de effectieve ondergrens van de nominale rente op -1% l</w:t>
      </w:r>
      <w:r w:rsidR="000E5433">
        <w:t>a</w:t>
      </w:r>
      <w:r>
        <w:t>g.</w:t>
      </w:r>
    </w:p>
    <w:p w14:paraId="6C6C9459" w14:textId="2EC63572" w:rsidR="00E96237" w:rsidRDefault="00E96237" w:rsidP="00E96237">
      <w:r>
        <w:t>d. Wat gebeurt er met de reële rente als er deflatie optreedt en de effectieve ondergrens van de nominale rente reeds bereikt is? Licht het antwoord toe</w:t>
      </w:r>
      <w:r w:rsidR="00AA6336">
        <w:t>.</w:t>
      </w:r>
    </w:p>
    <w:p w14:paraId="1C841644" w14:textId="77777777" w:rsidR="00E96237" w:rsidRDefault="00E96237" w:rsidP="00E96237"/>
    <w:p w14:paraId="1256F2F7" w14:textId="31FDDBB1" w:rsidR="00E96237" w:rsidRPr="00B71FAC" w:rsidRDefault="00E96237" w:rsidP="00E96237">
      <w:r w:rsidRPr="00B71FAC">
        <w:t>Behalve door de omvang van de bestedingen wordt het inflatiepercentage ook beïnvloed door de ontwikkeling van de productiekosten. De ECB verwacht</w:t>
      </w:r>
      <w:r w:rsidR="000E5433">
        <w:t>t</w:t>
      </w:r>
      <w:r w:rsidR="00AA6336">
        <w:t xml:space="preserve">e </w:t>
      </w:r>
      <w:r w:rsidRPr="00B71FAC">
        <w:t>voor 2021 geen sterke toename van de loonkosteninflatie.</w:t>
      </w:r>
    </w:p>
    <w:p w14:paraId="2CB3B36A" w14:textId="72E1D2AA" w:rsidR="00E96237" w:rsidRPr="00B71FAC" w:rsidRDefault="00E96237" w:rsidP="00E96237">
      <w:r>
        <w:t>e</w:t>
      </w:r>
      <w:r w:rsidRPr="00B71FAC">
        <w:t>.</w:t>
      </w:r>
      <w:r w:rsidR="000E5433">
        <w:t xml:space="preserve"> </w:t>
      </w:r>
      <w:r w:rsidRPr="00B71FAC">
        <w:t>Leg de verwachting van de ECB uit.</w:t>
      </w:r>
    </w:p>
    <w:p w14:paraId="04F6C081" w14:textId="2947AF6F" w:rsidR="00E96237" w:rsidRPr="00B71FAC" w:rsidRDefault="00E96237" w:rsidP="00E96237">
      <w:r>
        <w:t xml:space="preserve">f. </w:t>
      </w:r>
      <w:r w:rsidRPr="00B71FAC">
        <w:t>Welk gevolg kan de beschreven renteverlaging van de ECB hebben op de omvang van de maatschappelijke geldhoeveelheid? Licht het antwoord toe.</w:t>
      </w:r>
    </w:p>
    <w:p w14:paraId="0943C3EC" w14:textId="77777777" w:rsidR="00E96237" w:rsidRPr="00B71FAC" w:rsidRDefault="00E96237" w:rsidP="00E96237">
      <w:r>
        <w:t xml:space="preserve">g. </w:t>
      </w:r>
      <w:r w:rsidRPr="00B71FAC">
        <w:t>Leg uit hoe het beschreven rentebeleid van de ECB de inflatie in de eurozone kan verhogen.</w:t>
      </w:r>
    </w:p>
    <w:p w14:paraId="07BFEAE9" w14:textId="77777777" w:rsidR="00E96237" w:rsidRPr="00B71FAC" w:rsidRDefault="00E96237" w:rsidP="00E96237">
      <w:r w:rsidRPr="00B71FAC">
        <w:br w:type="page"/>
      </w:r>
    </w:p>
    <w:p w14:paraId="68A3ACA2" w14:textId="77777777" w:rsidR="00E96237" w:rsidRDefault="00E96237" w:rsidP="00E96237">
      <w:r>
        <w:rPr>
          <w:b/>
        </w:rPr>
        <w:lastRenderedPageBreak/>
        <w:t>Uitwerking opgave 1.1</w:t>
      </w:r>
    </w:p>
    <w:p w14:paraId="6A22A155" w14:textId="77777777" w:rsidR="00E96237" w:rsidRDefault="00E96237" w:rsidP="00E96237">
      <w:r>
        <w:t xml:space="preserve">a. 100 × 1,009 × 1,007 × 1,005 × 1,009 = 103,03. </w:t>
      </w:r>
    </w:p>
    <w:p w14:paraId="4D943BF4" w14:textId="77777777" w:rsidR="00E96237" w:rsidRDefault="00E96237" w:rsidP="00E96237">
      <w:r>
        <w:t>Het inflatiepercentage bedraagt 3,03%.</w:t>
      </w:r>
    </w:p>
    <w:p w14:paraId="4ACCE611" w14:textId="77777777" w:rsidR="00E96237" w:rsidRDefault="00E96237" w:rsidP="00E96237">
      <w:r>
        <w:t xml:space="preserve">b. De CB heeft staatsobligaties aan de banken verkocht in ruil voor basisgeld, waardoor het aanbod van basisgeld daalt. Hierdoor gaat de rente op basisgeld stijgen en deze hogere rente berekenen banken vervolgens door aan het publiek. </w:t>
      </w:r>
    </w:p>
    <w:p w14:paraId="31A2FFA1" w14:textId="77777777" w:rsidR="00E96237" w:rsidRDefault="00E96237" w:rsidP="00E96237">
      <w:r>
        <w:t>c. De groei van de maatschappelijke geldhoeveelheid zal afnemen, omdat de rentestijging ervoor zorgt dat sparen aantrekkelijker wordt en lenen onaantrekkelijker.</w:t>
      </w:r>
    </w:p>
    <w:p w14:paraId="55359B14" w14:textId="1E7F926A" w:rsidR="00E96237" w:rsidRDefault="00E96237" w:rsidP="00E96237">
      <w:r>
        <w:t>d. Uit het gegeven dat de negatieve groeipercentages van de maatschappelijke geldhoeveelheid (kwartaal 3 en 4) groter zijn dan de positieve groeipercentages (kwartaal 1 en 2) valt af te leiden dat de maatschappelijke geldhoeveelheid in 20</w:t>
      </w:r>
      <w:r w:rsidR="00AD5E95">
        <w:t>24</w:t>
      </w:r>
      <w:r>
        <w:t xml:space="preserve"> gedaald is (= geldvernietiging).</w:t>
      </w:r>
    </w:p>
    <w:p w14:paraId="048B3512" w14:textId="0A63729B" w:rsidR="00E96237" w:rsidRDefault="00E96237" w:rsidP="00E96237">
      <w:r>
        <w:t>e. De groei van het reële bbp wordt in de loop van 20</w:t>
      </w:r>
      <w:r w:rsidR="00AD5E95">
        <w:t>24</w:t>
      </w:r>
      <w:r>
        <w:t xml:space="preserve"> steeds lager, waardoor de bestedingsinflatie afgeremd wordt. In het vierde kwartaal stijgt het inflatiepercentage weer, ondanks de afname van het bbp. Dat kan wijzen op het toenemen van kosteninflatie.</w:t>
      </w:r>
    </w:p>
    <w:p w14:paraId="6B7FAF1B" w14:textId="77777777" w:rsidR="00E96237" w:rsidRDefault="00E96237" w:rsidP="00E96237"/>
    <w:p w14:paraId="1C6D8829" w14:textId="77777777" w:rsidR="00E96237" w:rsidRDefault="00E96237" w:rsidP="00E96237">
      <w:r>
        <w:rPr>
          <w:b/>
        </w:rPr>
        <w:t>Uitwerking opgave 1.2</w:t>
      </w:r>
    </w:p>
    <w:p w14:paraId="310D4F5B" w14:textId="77777777" w:rsidR="00E96237" w:rsidRPr="00B71FAC" w:rsidRDefault="00E96237" w:rsidP="00E96237">
      <w:r>
        <w:t xml:space="preserve">a. </w:t>
      </w:r>
      <w:r w:rsidRPr="00B71FAC">
        <w:t>De coronacrisis zorgde voor een daling van de bestedingen, waardoor de bezettingsgraad afnam. Een lagere bezettingsgraad zorgt voor minder bestedingsinflatie.</w:t>
      </w:r>
    </w:p>
    <w:p w14:paraId="66AA3451" w14:textId="77777777" w:rsidR="00E96237" w:rsidRDefault="00E96237" w:rsidP="00E96237">
      <w:r>
        <w:t xml:space="preserve">b. </w:t>
      </w:r>
      <w:r w:rsidRPr="00B71FAC">
        <w:t>Als de verwachting is dat de prijzen in de toekomst dalen, gaan gezinnen hun bestedingen deels uitstellen, waardoor een eventuele groei van het bbp afgeremd wordt.</w:t>
      </w:r>
    </w:p>
    <w:p w14:paraId="2AA5F499" w14:textId="651BF8B2" w:rsidR="00E96237" w:rsidRPr="00B71FAC" w:rsidRDefault="00E96237" w:rsidP="00E96237">
      <w:r>
        <w:t>c. Het doel van de ECB is dat de lagere rente de bestedingen aanwakkert en daarmee de inflatie. Banken krijgen daarom een extra beloning als ze erin slagen het geld weer uit te lenen aan het publiek dat er vervolgens bestedingen mee gaat doen</w:t>
      </w:r>
      <w:r w:rsidR="007D5CFA">
        <w:t xml:space="preserve"> (</w:t>
      </w:r>
      <w:r>
        <w:t xml:space="preserve">want alleen op die manier kan de </w:t>
      </w:r>
      <w:r w:rsidR="007D5CFA">
        <w:t>bestedings</w:t>
      </w:r>
      <w:r>
        <w:t>inflatie toenemen</w:t>
      </w:r>
      <w:r w:rsidR="007D5CFA">
        <w:t>)</w:t>
      </w:r>
      <w:r>
        <w:t>.</w:t>
      </w:r>
    </w:p>
    <w:p w14:paraId="5214570E" w14:textId="2443D280" w:rsidR="00E96237" w:rsidRDefault="00E96237" w:rsidP="00E96237">
      <w:r>
        <w:t>d. Dan stijgt de reële rente.</w:t>
      </w:r>
      <w:r w:rsidR="00090E52">
        <w:t xml:space="preserve"> </w:t>
      </w:r>
      <w:r w:rsidRPr="00090E52">
        <w:t xml:space="preserve">Als de nominale rente op -1% staat en de prijzen dalen, dan </w:t>
      </w:r>
      <w:r w:rsidR="00090E52" w:rsidRPr="00090E52">
        <w:t xml:space="preserve">stijgt de </w:t>
      </w:r>
      <w:r w:rsidRPr="00090E52">
        <w:t>reële rente. Hoe hoger het deflatiepercentage, des te hoger wordt de reële rente.</w:t>
      </w:r>
    </w:p>
    <w:p w14:paraId="715C963D" w14:textId="2E4D2AA7" w:rsidR="00E96237" w:rsidRPr="00B71FAC" w:rsidRDefault="00E96237" w:rsidP="00E96237">
      <w:r>
        <w:t xml:space="preserve">e. </w:t>
      </w:r>
      <w:r w:rsidRPr="00B71FAC">
        <w:t xml:space="preserve">Het werkloosheidspercentage </w:t>
      </w:r>
      <w:r w:rsidR="00AA6336">
        <w:t>wa</w:t>
      </w:r>
      <w:r w:rsidRPr="00B71FAC">
        <w:t>s in 2020 gestegen ten opzichte van 2019, waardoor er sprake is van een ruimere arbeidsmarkt.</w:t>
      </w:r>
      <w:r>
        <w:t xml:space="preserve"> </w:t>
      </w:r>
      <w:r w:rsidRPr="00B71FAC">
        <w:t>Hierdoor moe</w:t>
      </w:r>
      <w:r w:rsidR="00AA6336">
        <w:t>s</w:t>
      </w:r>
      <w:r w:rsidRPr="00B71FAC">
        <w:t>ten vakbonden hun looneisen voor 2021 matigen, waardoor de loonkosten niet sterk st</w:t>
      </w:r>
      <w:r w:rsidR="00AA6336">
        <w:t>e</w:t>
      </w:r>
      <w:r w:rsidRPr="00B71FAC">
        <w:t>gen en de loonkosteninflatie laag bl</w:t>
      </w:r>
      <w:r w:rsidR="00AA6336">
        <w:t>ee</w:t>
      </w:r>
      <w:r w:rsidRPr="00B71FAC">
        <w:t>f.</w:t>
      </w:r>
    </w:p>
    <w:p w14:paraId="01A2DEE6" w14:textId="19553FEA" w:rsidR="00E96237" w:rsidRPr="00B71FAC" w:rsidRDefault="00E96237" w:rsidP="00E96237">
      <w:r>
        <w:t xml:space="preserve">f. </w:t>
      </w:r>
      <w:r w:rsidRPr="00B71FAC">
        <w:t>De banken berekenen de lagere rente (deels) door aan het publiek. Hierdoor zal het publiek minder geld op spaarrekeningen zetten en meer geld lenen</w:t>
      </w:r>
      <w:r w:rsidR="005B48AD">
        <w:t xml:space="preserve">, </w:t>
      </w:r>
      <w:r w:rsidRPr="00B71FAC">
        <w:t>waardoor de maatschappelijke geldhoeveelheid toeneemt.</w:t>
      </w:r>
    </w:p>
    <w:p w14:paraId="3E5BF6AD" w14:textId="77777777" w:rsidR="007B28B3" w:rsidRDefault="007B28B3">
      <w:pPr>
        <w:spacing w:line="240" w:lineRule="auto"/>
      </w:pPr>
      <w:r>
        <w:br w:type="page"/>
      </w:r>
    </w:p>
    <w:p w14:paraId="604DCF9B" w14:textId="616A195D" w:rsidR="0033492E" w:rsidRPr="00E96237" w:rsidRDefault="00E96237" w:rsidP="00C45680">
      <w:r>
        <w:t xml:space="preserve">g. </w:t>
      </w:r>
      <w:r w:rsidRPr="00B71FAC">
        <w:t>De lagere rente zorgt voor een toename van de maatschappelijke geldhoeveelheid</w:t>
      </w:r>
      <w:r>
        <w:t xml:space="preserve"> (M1)</w:t>
      </w:r>
      <w:r w:rsidRPr="00B71FAC">
        <w:t>, waardoor de bestedingen in</w:t>
      </w:r>
      <w:r>
        <w:t xml:space="preserve"> de eurozone toenemen. </w:t>
      </w:r>
      <w:r w:rsidRPr="00B71FAC">
        <w:t>Hierdoor stijgt de bezettingsgraad, waardoor de (</w:t>
      </w:r>
      <w:proofErr w:type="spellStart"/>
      <w:r w:rsidRPr="00B71FAC">
        <w:t>bestedings</w:t>
      </w:r>
      <w:proofErr w:type="spellEnd"/>
      <w:r w:rsidRPr="00B71FAC">
        <w:t>)inflatie toeneemt.</w:t>
      </w:r>
      <w:r>
        <w:t xml:space="preserve"> Daarnaast kan de </w:t>
      </w:r>
      <w:r>
        <w:lastRenderedPageBreak/>
        <w:t>krappere arbeidsmarkt leiden tot hogere looneisen, waardoor de loonkosteninflatie eveneens toeneemt.</w:t>
      </w:r>
    </w:p>
    <w:sectPr w:rsidR="0033492E" w:rsidRPr="00E96237" w:rsidSect="003349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51145" w14:textId="77777777" w:rsidR="00D63724" w:rsidRDefault="00D63724" w:rsidP="00DE78FB">
      <w:r>
        <w:separator/>
      </w:r>
    </w:p>
  </w:endnote>
  <w:endnote w:type="continuationSeparator" w:id="0">
    <w:p w14:paraId="3574D5FE" w14:textId="77777777" w:rsidR="00D63724" w:rsidRDefault="00D63724" w:rsidP="00DE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alibri"/>
    <w:panose1 w:val="02010504070101020104"/>
    <w:charset w:val="00"/>
    <w:family w:val="auto"/>
    <w:pitch w:val="variable"/>
    <w:sig w:usb0="8000002F" w:usb1="4000004A" w:usb2="00000000" w:usb3="00000000" w:csb0="00000001" w:csb1="00000000"/>
  </w:font>
  <w:font w:name="QuadraatSans-Caps">
    <w:altName w:val="Calibri"/>
    <w:panose1 w:val="02010504050101020104"/>
    <w:charset w:val="00"/>
    <w:family w:val="auto"/>
    <w:pitch w:val="variable"/>
    <w:sig w:usb0="8000002F" w:usb1="4000004A" w:usb2="00000000" w:usb3="00000000" w:csb0="00000001" w:csb1="00000000"/>
  </w:font>
  <w:font w:name="QuadraatSansCon-Bold">
    <w:altName w:val="Calibri"/>
    <w:panose1 w:val="02010504050101020103"/>
    <w:charset w:val="00"/>
    <w:family w:val="auto"/>
    <w:pitch w:val="variable"/>
    <w:sig w:usb0="80000027" w:usb1="00000000" w:usb2="00000000" w:usb3="00000000" w:csb0="00000001" w:csb1="00000000"/>
  </w:font>
  <w:font w:name="QuadraatSansCon-Italic">
    <w:altName w:val="MV Boli"/>
    <w:panose1 w:val="02010504040101090104"/>
    <w:charset w:val="00"/>
    <w:family w:val="auto"/>
    <w:pitch w:val="variable"/>
    <w:sig w:usb0="80000027" w:usb1="00000000" w:usb2="00000000" w:usb3="00000000" w:csb0="00000001" w:csb1="00000000"/>
  </w:font>
  <w:font w:name="QuadraatSansCon-Regular">
    <w:altName w:val="Century"/>
    <w:panose1 w:val="02010504050101020103"/>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6ECCD" w14:textId="77777777" w:rsidR="00DF65D1" w:rsidRDefault="00DF65D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302B" w14:textId="77777777" w:rsidR="00DF65D1" w:rsidRDefault="00DF65D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C332" w14:textId="77777777" w:rsidR="00DF65D1" w:rsidRDefault="00DF65D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25AE" w14:textId="77777777" w:rsidR="00D63724" w:rsidRDefault="00D63724" w:rsidP="00DE78FB">
      <w:r>
        <w:separator/>
      </w:r>
    </w:p>
  </w:footnote>
  <w:footnote w:type="continuationSeparator" w:id="0">
    <w:p w14:paraId="7063818F" w14:textId="77777777" w:rsidR="00D63724" w:rsidRDefault="00D63724" w:rsidP="00DE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560A" w14:textId="77777777" w:rsidR="00DF65D1" w:rsidRDefault="00DF65D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cs="Arial"/>
        <w:sz w:val="16"/>
        <w:szCs w:val="16"/>
      </w:rPr>
    </w:sdtEndPr>
    <w:sdtContent>
      <w:p w14:paraId="7DD49DF9" w14:textId="77777777" w:rsidR="00D6173D" w:rsidRPr="00D6173D" w:rsidRDefault="00D6173D">
        <w:pPr>
          <w:pStyle w:val="Koptekst"/>
          <w:jc w:val="right"/>
          <w:rPr>
            <w:rFonts w:cs="Arial"/>
            <w:sz w:val="16"/>
            <w:szCs w:val="16"/>
          </w:rPr>
        </w:pPr>
        <w:r>
          <w:rPr>
            <w:noProof/>
            <w:sz w:val="20"/>
            <w:szCs w:val="20"/>
          </w:rPr>
          <w:drawing>
            <wp:inline distT="0" distB="0" distL="0" distR="0" wp14:anchorId="4B9A0C8A" wp14:editId="6FDFD85B">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cs="Arial"/>
            <w:sz w:val="16"/>
            <w:szCs w:val="16"/>
          </w:rPr>
          <w:t xml:space="preserve"> </w:t>
        </w:r>
        <w:r w:rsidR="00C07AD2">
          <w:rPr>
            <w:rFonts w:cs="Arial"/>
            <w:sz w:val="16"/>
            <w:szCs w:val="16"/>
          </w:rPr>
          <w:t>Economisch Beleid</w:t>
        </w:r>
        <w:r w:rsidRPr="00BE1329">
          <w:rPr>
            <w:rFonts w:cs="Arial"/>
            <w:sz w:val="16"/>
            <w:szCs w:val="16"/>
          </w:rPr>
          <w:t xml:space="preserve"> h</w:t>
        </w:r>
        <w:r>
          <w:rPr>
            <w:rFonts w:cs="Arial"/>
            <w:sz w:val="16"/>
            <w:szCs w:val="16"/>
          </w:rPr>
          <w:t>1</w:t>
        </w:r>
        <w:r w:rsidRPr="00BE1329">
          <w:rPr>
            <w:rFonts w:cs="Arial"/>
            <w:sz w:val="16"/>
            <w:szCs w:val="16"/>
          </w:rPr>
          <w:t xml:space="preserve"> extra oefenopgaven (website)</w:t>
        </w:r>
        <w:r w:rsidR="008803E8">
          <w:rPr>
            <w:rFonts w:cs="Arial"/>
            <w:sz w:val="16"/>
            <w:szCs w:val="16"/>
          </w:rPr>
          <w:tab/>
        </w:r>
        <w:r>
          <w:rPr>
            <w:rFonts w:cs="Arial"/>
            <w:sz w:val="16"/>
            <w:szCs w:val="16"/>
          </w:rPr>
          <w:tab/>
        </w:r>
        <w:r w:rsidR="00BA20C8" w:rsidRPr="00D6173D">
          <w:rPr>
            <w:rFonts w:cs="Arial"/>
            <w:sz w:val="16"/>
            <w:szCs w:val="16"/>
          </w:rPr>
          <w:fldChar w:fldCharType="begin"/>
        </w:r>
        <w:r w:rsidRPr="00D6173D">
          <w:rPr>
            <w:rFonts w:cs="Arial"/>
            <w:sz w:val="16"/>
            <w:szCs w:val="16"/>
          </w:rPr>
          <w:instrText>PAGE   \* MERGEFORMAT</w:instrText>
        </w:r>
        <w:r w:rsidR="00BA20C8" w:rsidRPr="00D6173D">
          <w:rPr>
            <w:rFonts w:cs="Arial"/>
            <w:sz w:val="16"/>
            <w:szCs w:val="16"/>
          </w:rPr>
          <w:fldChar w:fldCharType="separate"/>
        </w:r>
        <w:r w:rsidR="00DF65D1">
          <w:rPr>
            <w:rFonts w:cs="Arial"/>
            <w:noProof/>
            <w:sz w:val="16"/>
            <w:szCs w:val="16"/>
          </w:rPr>
          <w:t>2</w:t>
        </w:r>
        <w:r w:rsidR="00BA20C8" w:rsidRPr="00D6173D">
          <w:rPr>
            <w:rFonts w:cs="Arial"/>
            <w:sz w:val="16"/>
            <w:szCs w:val="16"/>
          </w:rPr>
          <w:fldChar w:fldCharType="end"/>
        </w:r>
      </w:p>
    </w:sdtContent>
  </w:sdt>
  <w:p w14:paraId="60BD4D5F" w14:textId="77777777" w:rsidR="00DE78FB" w:rsidRDefault="00DE78F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1367" w14:textId="77777777" w:rsidR="00DF65D1" w:rsidRDefault="00DF65D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074"/>
    <w:multiLevelType w:val="hybridMultilevel"/>
    <w:tmpl w:val="D6FE747E"/>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879B6"/>
    <w:multiLevelType w:val="hybridMultilevel"/>
    <w:tmpl w:val="07580F58"/>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FB"/>
    <w:rsid w:val="00017F08"/>
    <w:rsid w:val="00057A53"/>
    <w:rsid w:val="00082499"/>
    <w:rsid w:val="00090E52"/>
    <w:rsid w:val="000924AA"/>
    <w:rsid w:val="000B2871"/>
    <w:rsid w:val="000C03CE"/>
    <w:rsid w:val="000D2913"/>
    <w:rsid w:val="000E5433"/>
    <w:rsid w:val="000F1722"/>
    <w:rsid w:val="001004F1"/>
    <w:rsid w:val="00113206"/>
    <w:rsid w:val="00124B3C"/>
    <w:rsid w:val="001C419F"/>
    <w:rsid w:val="001F2EC8"/>
    <w:rsid w:val="00200CC2"/>
    <w:rsid w:val="00217FF8"/>
    <w:rsid w:val="00250D8F"/>
    <w:rsid w:val="00272FC3"/>
    <w:rsid w:val="00296FB1"/>
    <w:rsid w:val="002B15F0"/>
    <w:rsid w:val="002E4490"/>
    <w:rsid w:val="00305E5D"/>
    <w:rsid w:val="00331ED7"/>
    <w:rsid w:val="0033492E"/>
    <w:rsid w:val="00334C38"/>
    <w:rsid w:val="0037398A"/>
    <w:rsid w:val="00375740"/>
    <w:rsid w:val="003D3690"/>
    <w:rsid w:val="003E6879"/>
    <w:rsid w:val="0041430E"/>
    <w:rsid w:val="00462E6E"/>
    <w:rsid w:val="00470328"/>
    <w:rsid w:val="004B09FB"/>
    <w:rsid w:val="004D116A"/>
    <w:rsid w:val="004D3AA6"/>
    <w:rsid w:val="005A538F"/>
    <w:rsid w:val="005B48AD"/>
    <w:rsid w:val="00600A2F"/>
    <w:rsid w:val="00651C1F"/>
    <w:rsid w:val="006C2F87"/>
    <w:rsid w:val="006D68DB"/>
    <w:rsid w:val="00770DF7"/>
    <w:rsid w:val="007730CD"/>
    <w:rsid w:val="0078269C"/>
    <w:rsid w:val="007B28B3"/>
    <w:rsid w:val="007C030C"/>
    <w:rsid w:val="007D5CFA"/>
    <w:rsid w:val="008803E8"/>
    <w:rsid w:val="0089169A"/>
    <w:rsid w:val="00892230"/>
    <w:rsid w:val="0092629C"/>
    <w:rsid w:val="0093214F"/>
    <w:rsid w:val="00933E22"/>
    <w:rsid w:val="009D6C1D"/>
    <w:rsid w:val="00A523ED"/>
    <w:rsid w:val="00A8277E"/>
    <w:rsid w:val="00AA6336"/>
    <w:rsid w:val="00AD5E95"/>
    <w:rsid w:val="00B72874"/>
    <w:rsid w:val="00B80487"/>
    <w:rsid w:val="00BA1E55"/>
    <w:rsid w:val="00BA20C8"/>
    <w:rsid w:val="00BA3EE6"/>
    <w:rsid w:val="00C07AD2"/>
    <w:rsid w:val="00C1446E"/>
    <w:rsid w:val="00C2176E"/>
    <w:rsid w:val="00C45680"/>
    <w:rsid w:val="00C86E41"/>
    <w:rsid w:val="00C94E08"/>
    <w:rsid w:val="00CC1D2D"/>
    <w:rsid w:val="00CF11A5"/>
    <w:rsid w:val="00CF2B2E"/>
    <w:rsid w:val="00CF72BF"/>
    <w:rsid w:val="00D53993"/>
    <w:rsid w:val="00D6173D"/>
    <w:rsid w:val="00D63724"/>
    <w:rsid w:val="00DE78FB"/>
    <w:rsid w:val="00DF123B"/>
    <w:rsid w:val="00DF65D1"/>
    <w:rsid w:val="00E21E42"/>
    <w:rsid w:val="00E3501E"/>
    <w:rsid w:val="00E76D1E"/>
    <w:rsid w:val="00E82EA0"/>
    <w:rsid w:val="00E9336F"/>
    <w:rsid w:val="00E96237"/>
    <w:rsid w:val="00EC47C9"/>
    <w:rsid w:val="00ED1353"/>
    <w:rsid w:val="00EE53F6"/>
    <w:rsid w:val="00EF5C76"/>
    <w:rsid w:val="00F139A1"/>
    <w:rsid w:val="00F27BDE"/>
    <w:rsid w:val="00F34887"/>
    <w:rsid w:val="00F378CA"/>
    <w:rsid w:val="00FC61F1"/>
    <w:rsid w:val="00FD4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6D1E"/>
    <w:pPr>
      <w:spacing w:line="288" w:lineRule="auto"/>
    </w:pPr>
    <w:rPr>
      <w:rFonts w:ascii="Arial" w:hAnsi="Arial"/>
      <w:sz w:val="24"/>
      <w:szCs w:val="24"/>
    </w:rPr>
  </w:style>
  <w:style w:type="paragraph" w:styleId="Kop1">
    <w:name w:val="heading 1"/>
    <w:basedOn w:val="Standaard"/>
    <w:next w:val="Standaard"/>
    <w:link w:val="Kop1Char"/>
    <w:qFormat/>
    <w:rsid w:val="00BA3EE6"/>
    <w:pPr>
      <w:keepNext/>
      <w:outlineLvl w:val="0"/>
    </w:pPr>
    <w:rPr>
      <w:b/>
      <w:sz w:val="28"/>
      <w:szCs w:val="20"/>
      <w:u w:val="single"/>
    </w:rPr>
  </w:style>
  <w:style w:type="paragraph" w:styleId="Kop2">
    <w:name w:val="heading 2"/>
    <w:basedOn w:val="Standaard"/>
    <w:next w:val="Standaard"/>
    <w:link w:val="Kop2Char"/>
    <w:qFormat/>
    <w:rsid w:val="00BA3EE6"/>
    <w:pPr>
      <w:keepNext/>
      <w:outlineLvl w:val="1"/>
    </w:pPr>
    <w:rPr>
      <w:sz w:val="28"/>
      <w:szCs w:val="20"/>
    </w:rPr>
  </w:style>
  <w:style w:type="paragraph" w:styleId="Kop3">
    <w:name w:val="heading 3"/>
    <w:basedOn w:val="Standaard"/>
    <w:next w:val="Standaard"/>
    <w:link w:val="Kop3Char"/>
    <w:qFormat/>
    <w:rsid w:val="00BA3EE6"/>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BA3EE6"/>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qFormat/>
    <w:rsid w:val="00BA3EE6"/>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link w:val="Opmaakprofiel1Char"/>
    <w:rsid w:val="00C86E4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pPr>
    <w:rPr>
      <w:b/>
      <w:bCs/>
      <w:sz w:val="22"/>
      <w:szCs w:val="22"/>
    </w:rPr>
  </w:style>
  <w:style w:type="character" w:customStyle="1" w:styleId="Opmaakprofiel1Char">
    <w:name w:val="Opmaakprofiel1 Char"/>
    <w:basedOn w:val="Standaardalinea-lettertype"/>
    <w:link w:val="Opmaakprofiel1"/>
    <w:rsid w:val="00C86E41"/>
    <w:rPr>
      <w:rFonts w:ascii="Times New Roman" w:hAnsi="Times New Roman" w:cs="Arial"/>
      <w:b/>
      <w:bCs/>
    </w:rPr>
  </w:style>
  <w:style w:type="paragraph" w:customStyle="1" w:styleId="Opmaakprofiel2">
    <w:name w:val="Opmaakprofiel2"/>
    <w:basedOn w:val="Opmaakprofiel1"/>
    <w:link w:val="Opmaakprofiel2Char"/>
    <w:rsid w:val="00C86E41"/>
  </w:style>
  <w:style w:type="character" w:customStyle="1" w:styleId="Opmaakprofiel2Char">
    <w:name w:val="Opmaakprofiel2 Char"/>
    <w:basedOn w:val="Opmaakprofiel1Char"/>
    <w:link w:val="Opmaakprofiel2"/>
    <w:rsid w:val="00C86E41"/>
    <w:rPr>
      <w:rFonts w:ascii="Times New Roman" w:hAnsi="Times New Roman" w:cs="Arial"/>
      <w:b/>
      <w:bCs/>
    </w:rPr>
  </w:style>
  <w:style w:type="character" w:customStyle="1" w:styleId="Kop1Char">
    <w:name w:val="Kop 1 Char"/>
    <w:basedOn w:val="Standaardalinea-lettertype"/>
    <w:link w:val="Kop1"/>
    <w:rsid w:val="00BA3EE6"/>
    <w:rPr>
      <w:b/>
      <w:sz w:val="28"/>
      <w:u w:val="single"/>
    </w:rPr>
  </w:style>
  <w:style w:type="character" w:customStyle="1" w:styleId="Kop2Char">
    <w:name w:val="Kop 2 Char"/>
    <w:basedOn w:val="Standaardalinea-lettertype"/>
    <w:link w:val="Kop2"/>
    <w:rsid w:val="00BA3EE6"/>
    <w:rPr>
      <w:sz w:val="28"/>
    </w:rPr>
  </w:style>
  <w:style w:type="character" w:customStyle="1" w:styleId="Kop4Char">
    <w:name w:val="Kop 4 Char"/>
    <w:basedOn w:val="Standaardalinea-lettertype"/>
    <w:link w:val="Kop4"/>
    <w:semiHidden/>
    <w:rsid w:val="00BA3EE6"/>
    <w:rPr>
      <w:rFonts w:asciiTheme="minorHAnsi" w:eastAsiaTheme="minorEastAsia" w:hAnsiTheme="minorHAnsi" w:cstheme="minorBidi"/>
      <w:b/>
      <w:bCs/>
      <w:sz w:val="28"/>
      <w:szCs w:val="28"/>
    </w:rPr>
  </w:style>
  <w:style w:type="paragraph" w:styleId="Bijschrift">
    <w:name w:val="caption"/>
    <w:basedOn w:val="Standaard"/>
    <w:next w:val="Standaard"/>
    <w:semiHidden/>
    <w:unhideWhenUsed/>
    <w:qFormat/>
    <w:rsid w:val="00BA3EE6"/>
    <w:rPr>
      <w:b/>
      <w:bCs/>
      <w:sz w:val="20"/>
      <w:szCs w:val="20"/>
    </w:rPr>
  </w:style>
  <w:style w:type="paragraph" w:styleId="Geenafstand">
    <w:name w:val="No Spacing"/>
    <w:basedOn w:val="Standaard"/>
    <w:link w:val="GeenafstandChar"/>
    <w:uiPriority w:val="1"/>
    <w:qFormat/>
    <w:rsid w:val="00BA3EE6"/>
    <w:rPr>
      <w:rFonts w:eastAsia="Calibri"/>
    </w:rPr>
  </w:style>
  <w:style w:type="character" w:customStyle="1" w:styleId="GeenafstandChar">
    <w:name w:val="Geen afstand Char"/>
    <w:basedOn w:val="Standaardalinea-lettertype"/>
    <w:link w:val="Geenafstand"/>
    <w:uiPriority w:val="1"/>
    <w:rsid w:val="00BA3EE6"/>
    <w:rPr>
      <w:rFonts w:eastAsia="Calibri"/>
      <w:sz w:val="24"/>
      <w:szCs w:val="24"/>
    </w:rPr>
  </w:style>
  <w:style w:type="character" w:customStyle="1" w:styleId="Kop3Char">
    <w:name w:val="Kop 3 Char"/>
    <w:basedOn w:val="Standaardalinea-lettertype"/>
    <w:link w:val="Kop3"/>
    <w:rsid w:val="00BA3EE6"/>
    <w:rPr>
      <w:rFonts w:ascii="Arial" w:hAnsi="Arial" w:cs="Arial"/>
      <w:b/>
      <w:bCs/>
      <w:sz w:val="26"/>
      <w:szCs w:val="26"/>
    </w:rPr>
  </w:style>
  <w:style w:type="character" w:customStyle="1" w:styleId="Kop5Char">
    <w:name w:val="Kop 5 Char"/>
    <w:basedOn w:val="Standaardalinea-lettertype"/>
    <w:link w:val="Kop5"/>
    <w:rsid w:val="00BA3EE6"/>
    <w:rPr>
      <w:b/>
      <w:bCs/>
      <w:i/>
      <w:iCs/>
      <w:sz w:val="26"/>
      <w:szCs w:val="26"/>
    </w:rPr>
  </w:style>
  <w:style w:type="paragraph" w:styleId="Lijstalinea">
    <w:name w:val="List Paragraph"/>
    <w:basedOn w:val="Standaard"/>
    <w:uiPriority w:val="34"/>
    <w:qFormat/>
    <w:rsid w:val="00BA3EE6"/>
    <w:pPr>
      <w:ind w:left="720"/>
      <w:contextualSpacing/>
    </w:pPr>
  </w:style>
  <w:style w:type="table" w:styleId="Tabelraster">
    <w:name w:val="Table Grid"/>
    <w:basedOn w:val="Standaardtabel"/>
    <w:rsid w:val="00DE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DE78FB"/>
    <w:pPr>
      <w:tabs>
        <w:tab w:val="center" w:pos="4536"/>
        <w:tab w:val="right" w:pos="9072"/>
      </w:tabs>
    </w:pPr>
  </w:style>
  <w:style w:type="character" w:customStyle="1" w:styleId="KoptekstChar">
    <w:name w:val="Koptekst Char"/>
    <w:basedOn w:val="Standaardalinea-lettertype"/>
    <w:link w:val="Koptekst"/>
    <w:uiPriority w:val="99"/>
    <w:rsid w:val="00DE78FB"/>
    <w:rPr>
      <w:sz w:val="24"/>
      <w:szCs w:val="24"/>
    </w:rPr>
  </w:style>
  <w:style w:type="paragraph" w:styleId="Voettekst">
    <w:name w:val="footer"/>
    <w:basedOn w:val="Standaard"/>
    <w:link w:val="VoettekstChar"/>
    <w:uiPriority w:val="99"/>
    <w:unhideWhenUsed/>
    <w:rsid w:val="00DE78FB"/>
    <w:pPr>
      <w:tabs>
        <w:tab w:val="center" w:pos="4536"/>
        <w:tab w:val="right" w:pos="9072"/>
      </w:tabs>
    </w:pPr>
  </w:style>
  <w:style w:type="character" w:customStyle="1" w:styleId="VoettekstChar">
    <w:name w:val="Voettekst Char"/>
    <w:basedOn w:val="Standaardalinea-lettertype"/>
    <w:link w:val="Voettekst"/>
    <w:uiPriority w:val="99"/>
    <w:rsid w:val="00DE78FB"/>
    <w:rPr>
      <w:sz w:val="24"/>
      <w:szCs w:val="24"/>
    </w:rPr>
  </w:style>
  <w:style w:type="paragraph" w:styleId="Ballontekst">
    <w:name w:val="Balloon Text"/>
    <w:basedOn w:val="Standaard"/>
    <w:link w:val="BallontekstChar"/>
    <w:uiPriority w:val="99"/>
    <w:semiHidden/>
    <w:unhideWhenUsed/>
    <w:rsid w:val="00DE78FB"/>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8FB"/>
    <w:rPr>
      <w:rFonts w:ascii="Tahoma" w:hAnsi="Tahoma" w:cs="Tahoma"/>
      <w:sz w:val="16"/>
      <w:szCs w:val="16"/>
    </w:rPr>
  </w:style>
  <w:style w:type="paragraph" w:customStyle="1" w:styleId="Opgave">
    <w:name w:val="Opgave"/>
    <w:basedOn w:val="Standaard"/>
    <w:qFormat/>
    <w:rsid w:val="002B15F0"/>
    <w:pPr>
      <w:tabs>
        <w:tab w:val="left" w:pos="0"/>
        <w:tab w:val="left" w:pos="284"/>
        <w:tab w:val="left" w:pos="567"/>
        <w:tab w:val="left" w:pos="851"/>
      </w:tabs>
      <w:overflowPunct w:val="0"/>
      <w:autoSpaceDE w:val="0"/>
      <w:autoSpaceDN w:val="0"/>
      <w:adjustRightInd w:val="0"/>
      <w:spacing w:after="60"/>
      <w:ind w:hanging="567"/>
      <w:contextualSpacing/>
      <w:jc w:val="both"/>
      <w:textAlignment w:val="baseline"/>
    </w:pPr>
    <w:rPr>
      <w:rFonts w:ascii="Quadraat-Regular" w:hAnsi="Quadraat-Regular"/>
      <w:sz w:val="20"/>
    </w:rPr>
  </w:style>
  <w:style w:type="table" w:customStyle="1" w:styleId="LWEOTeulings">
    <w:name w:val="LWEO Teulings"/>
    <w:basedOn w:val="Standaardtabel"/>
    <w:uiPriority w:val="99"/>
    <w:qFormat/>
    <w:rsid w:val="002B15F0"/>
    <w:pPr>
      <w:jc w:val="right"/>
    </w:pPr>
    <w:rPr>
      <w:rFonts w:ascii="QuadraatSans-Caps" w:hAnsi="QuadraatSans-Caps"/>
      <w:sz w:val="18"/>
    </w:rPr>
    <w:tblPr>
      <w:tblStyleRowBandSize w:val="1"/>
      <w:tblStyleColBandSize w:val="1"/>
      <w:tblInd w:w="113" w:type="dxa"/>
      <w:tblBorders>
        <w:bottom w:val="single" w:sz="4" w:space="0" w:color="000000" w:themeColor="text1"/>
      </w:tblBorders>
    </w:tblPr>
    <w:tcPr>
      <w:vAlign w:val="center"/>
    </w:tcPr>
    <w:tblStylePr w:type="firstRow">
      <w:pPr>
        <w:jc w:val="center"/>
      </w:pPr>
      <w:rPr>
        <w:rFonts w:ascii="QuadraatSansCon-Bold" w:hAnsi="QuadraatSansCon-Bold"/>
        <w:sz w:val="18"/>
      </w:rPr>
      <w:tblPr/>
      <w:tcPr>
        <w:shd w:val="clear" w:color="auto" w:fill="000000" w:themeFill="text1"/>
      </w:tcPr>
    </w:tblStylePr>
    <w:tblStylePr w:type="lastRow">
      <w:pPr>
        <w:jc w:val="right"/>
      </w:pPr>
      <w:rPr>
        <w:rFonts w:ascii="QuadraatSansCon-Italic" w:hAnsi="QuadraatSansCon-Italic"/>
        <w:sz w:val="18"/>
      </w:rPr>
    </w:tblStylePr>
    <w:tblStylePr w:type="firstCol">
      <w:pPr>
        <w:jc w:val="left"/>
      </w:pPr>
      <w:rPr>
        <w:rFonts w:ascii="QuadraatSansCon-Regular" w:hAnsi="QuadraatSansCon-Regular"/>
      </w:rPr>
    </w:tblStylePr>
    <w:tblStylePr w:type="lastCol">
      <w:pPr>
        <w:jc w:val="right"/>
      </w:pPr>
      <w:rPr>
        <w:rFonts w:ascii="QuadraatSansCon-Italic" w:hAnsi="QuadraatSansCon-Italic"/>
      </w:rPr>
    </w:tblStylePr>
    <w:tblStylePr w:type="band1Horz">
      <w:tblPr/>
      <w:tcPr>
        <w:shd w:val="clear" w:color="auto" w:fill="BFBFBF" w:themeFill="background1" w:themeFillShade="BF"/>
      </w:tcPr>
    </w:tblStylePr>
  </w:style>
  <w:style w:type="character" w:styleId="Verwijzingopmerking">
    <w:name w:val="annotation reference"/>
    <w:basedOn w:val="Standaardalinea-lettertype"/>
    <w:uiPriority w:val="99"/>
    <w:semiHidden/>
    <w:unhideWhenUsed/>
    <w:rsid w:val="004B09FB"/>
    <w:rPr>
      <w:sz w:val="16"/>
      <w:szCs w:val="16"/>
    </w:rPr>
  </w:style>
  <w:style w:type="paragraph" w:styleId="Tekstopmerking">
    <w:name w:val="annotation text"/>
    <w:basedOn w:val="Standaard"/>
    <w:link w:val="TekstopmerkingChar"/>
    <w:uiPriority w:val="99"/>
    <w:semiHidden/>
    <w:unhideWhenUsed/>
    <w:rsid w:val="004B09FB"/>
    <w:pPr>
      <w:spacing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B09FB"/>
    <w:rPr>
      <w:rFonts w:asciiTheme="minorHAnsi" w:eastAsiaTheme="minorHAnsi" w:hAnsiTheme="minorHAnsi" w:cstheme="minorBidi"/>
      <w:lang w:eastAsia="en-US"/>
    </w:rPr>
  </w:style>
  <w:style w:type="paragraph" w:styleId="Revisie">
    <w:name w:val="Revision"/>
    <w:hidden/>
    <w:uiPriority w:val="99"/>
    <w:semiHidden/>
    <w:rsid w:val="00AA633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FD86-1F21-4601-8112-47BEA31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4995</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2025-10-02T13:05:00Z</dcterms:created>
  <dcterms:modified xsi:type="dcterms:W3CDTF">2025-10-02T13:05:00Z</dcterms:modified>
</cp:coreProperties>
</file>