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D55DCE" w14:textId="77777777" w:rsidR="00D33DE7" w:rsidRPr="00FF2EA3" w:rsidRDefault="00D33DE7" w:rsidP="00D33DE7">
      <w:r w:rsidRPr="00FF2EA3">
        <w:rPr>
          <w:b/>
        </w:rPr>
        <w:t xml:space="preserve">Opgave </w:t>
      </w:r>
      <w:r>
        <w:rPr>
          <w:b/>
        </w:rPr>
        <w:t>2.1</w:t>
      </w:r>
    </w:p>
    <w:p w14:paraId="1D7C6042" w14:textId="77777777" w:rsidR="00D33DE7" w:rsidRPr="00FF2EA3" w:rsidRDefault="00D33DE7" w:rsidP="00D33DE7">
      <w:pPr>
        <w:rPr>
          <w:i/>
        </w:rPr>
      </w:pPr>
      <w:r w:rsidRPr="00FF2EA3">
        <w:rPr>
          <w:i/>
        </w:rPr>
        <w:t xml:space="preserve">uit </w:t>
      </w:r>
      <w:r>
        <w:rPr>
          <w:i/>
        </w:rPr>
        <w:t>een</w:t>
      </w:r>
      <w:r w:rsidRPr="00FF2EA3">
        <w:rPr>
          <w:i/>
        </w:rPr>
        <w:t xml:space="preserve"> krant</w:t>
      </w:r>
      <w:r>
        <w:rPr>
          <w:i/>
        </w:rPr>
        <w:t>:</w:t>
      </w:r>
    </w:p>
    <w:p w14:paraId="47859533" w14:textId="77777777" w:rsidR="00D33DE7" w:rsidRPr="00FF2EA3" w:rsidRDefault="00D33DE7" w:rsidP="00D33DE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rPr>
          <w:b/>
          <w:bCs/>
        </w:rPr>
      </w:pPr>
      <w:r w:rsidRPr="00FF2EA3">
        <w:rPr>
          <w:b/>
          <w:bCs/>
        </w:rPr>
        <w:t>Begrotingsnorm en output gap</w:t>
      </w:r>
    </w:p>
    <w:p w14:paraId="6AB99B78" w14:textId="29CFBF77" w:rsidR="00D33DE7" w:rsidRPr="00FF2EA3" w:rsidRDefault="00D33DE7" w:rsidP="00D33DE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pPr>
      <w:r w:rsidRPr="00FF2EA3">
        <w:t>Omdat er al enkele jaren sprake is van hoogconjunctuur, gaat het beter met de overheidsfinanciën. Daarom pleiten sommige politici voor afschaffing van de tot dan toe gehanteerde begrotingsnorm. Deze norm houdt in dat er een strikte scheiding is tussen overheidsuitgaven en overheidsontvangsten. De groei van de overheidsuitgaven ligt vast op de verwachte groei van het potentiële bbp. De werkelijke overheidsontvangsten zijn afhankelijk van de conjuncturele ontwikkeling/groei van het werkelijke bbp.</w:t>
      </w:r>
    </w:p>
    <w:p w14:paraId="6D8E318B" w14:textId="77777777" w:rsidR="00D33DE7" w:rsidRDefault="00D33DE7" w:rsidP="00D33DE7">
      <w:r>
        <w:t xml:space="preserve">a. </w:t>
      </w:r>
      <w:r w:rsidRPr="00FF2EA3">
        <w:t xml:space="preserve">Leg uit dat een hoogconjunctuur automatisch leidt tot een verbetering van de overheidsfinanciën. Ga hierbij zowel in op de overheidsinkomsten als op de overheidsuitgaven. </w:t>
      </w:r>
    </w:p>
    <w:p w14:paraId="030F915E" w14:textId="77777777" w:rsidR="00D33DE7" w:rsidRPr="00FF2EA3" w:rsidRDefault="00D33DE7" w:rsidP="00D33DE7">
      <w:r>
        <w:t xml:space="preserve">b. </w:t>
      </w:r>
      <w:r w:rsidRPr="00FF2EA3">
        <w:t>Heeft de beschreven begrotingsnorm een anticyclische werking of juist een procyclische werking? Licht het antwoord toe.</w:t>
      </w:r>
    </w:p>
    <w:p w14:paraId="07487DF9" w14:textId="77777777" w:rsidR="00D33DE7" w:rsidRPr="00FF2EA3" w:rsidRDefault="00D33DE7" w:rsidP="00D33DE7"/>
    <w:p w14:paraId="03155D21" w14:textId="77777777" w:rsidR="00D33DE7" w:rsidRPr="00FF2EA3" w:rsidRDefault="00D33DE7" w:rsidP="00D33DE7">
      <w:r>
        <w:t>De m</w:t>
      </w:r>
      <w:r w:rsidRPr="00FF2EA3">
        <w:t>inister van Financiën stelt dat de reeds aanwezige positieve output gap alleen maar groter wordt als op dit moment de begrotingsnorm wordt afgeschaft.</w:t>
      </w:r>
    </w:p>
    <w:p w14:paraId="65A270C7" w14:textId="77777777" w:rsidR="00D33DE7" w:rsidRPr="00FF2EA3" w:rsidRDefault="00D33DE7" w:rsidP="00D33DE7">
      <w:r>
        <w:t xml:space="preserve">c. </w:t>
      </w:r>
      <w:r w:rsidRPr="00FF2EA3">
        <w:t>Leg de stelling van de minister van Financiën uit.</w:t>
      </w:r>
    </w:p>
    <w:p w14:paraId="23CD5CEA" w14:textId="77777777" w:rsidR="00D33DE7" w:rsidRPr="00FF2EA3" w:rsidRDefault="00D33DE7" w:rsidP="00D33DE7">
      <w:r>
        <w:t xml:space="preserve">d. </w:t>
      </w:r>
      <w:r w:rsidRPr="00FF2EA3">
        <w:t>Leg uit welke invloed een positieve output gap heeft op de inflatie. Ga bij je antwoord in op zowel bestedingsinflatie als kosteninflatie.</w:t>
      </w:r>
    </w:p>
    <w:p w14:paraId="18723FB2" w14:textId="77777777" w:rsidR="00D33DE7" w:rsidRPr="00FF2EA3" w:rsidRDefault="00D33DE7" w:rsidP="00D33DE7"/>
    <w:p w14:paraId="72025C76" w14:textId="77777777" w:rsidR="00D33DE7" w:rsidRDefault="00D33DE7" w:rsidP="00D33DE7">
      <w:pPr>
        <w:rPr>
          <w:b/>
          <w:bCs/>
        </w:rPr>
      </w:pPr>
      <w:bookmarkStart w:id="0" w:name="_Toc29460083"/>
      <w:r>
        <w:rPr>
          <w:b/>
          <w:bCs/>
        </w:rPr>
        <w:t>Opgave 2.2</w:t>
      </w:r>
    </w:p>
    <w:p w14:paraId="5FA22209" w14:textId="77777777" w:rsidR="00D33DE7" w:rsidRPr="00FF2EA3" w:rsidRDefault="00D33DE7" w:rsidP="00D33DE7">
      <w:pPr>
        <w:rPr>
          <w:b/>
          <w:bCs/>
        </w:rPr>
      </w:pPr>
      <w:r w:rsidRPr="00FF2EA3">
        <w:rPr>
          <w:b/>
          <w:bCs/>
        </w:rPr>
        <w:t>Overheid ter discussie</w:t>
      </w:r>
      <w:bookmarkEnd w:id="0"/>
    </w:p>
    <w:p w14:paraId="6A00A72E" w14:textId="77777777" w:rsidR="00D33DE7" w:rsidRPr="00FF2EA3" w:rsidRDefault="00D33DE7" w:rsidP="00D33DE7">
      <w:r w:rsidRPr="00FF2EA3">
        <w:t>De rol van de overheid van een bepaald land staat regelmatig ter discussie. In dat verband trokken de twee onderstaande krantenkoppen de aandacht.</w:t>
      </w:r>
    </w:p>
    <w:p w14:paraId="361A8FD7" w14:textId="77777777" w:rsidR="00D33DE7" w:rsidRPr="00FF2EA3" w:rsidRDefault="00D33DE7" w:rsidP="00D33DE7"/>
    <w:p w14:paraId="340CF5CF" w14:textId="77777777" w:rsidR="00D33DE7" w:rsidRPr="00FF2EA3" w:rsidRDefault="00D33DE7" w:rsidP="00D33DE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rPr>
          <w:b/>
        </w:rPr>
      </w:pPr>
      <w:r w:rsidRPr="00FF2EA3">
        <w:rPr>
          <w:b/>
        </w:rPr>
        <w:t>kop 1</w:t>
      </w:r>
    </w:p>
    <w:p w14:paraId="703EE3B5" w14:textId="77777777" w:rsidR="00D33DE7" w:rsidRPr="00FF2EA3" w:rsidRDefault="00D33DE7" w:rsidP="00D33DE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rPr>
          <w:i/>
        </w:rPr>
      </w:pPr>
      <w:r w:rsidRPr="00FF2EA3">
        <w:rPr>
          <w:i/>
        </w:rPr>
        <w:t xml:space="preserve">Burgers verwachten meer </w:t>
      </w:r>
      <w:r w:rsidRPr="00FF2EA3">
        <w:rPr>
          <w:i/>
        </w:rPr>
        <w:tab/>
        <w:t>van ov</w:t>
      </w:r>
      <w:r>
        <w:rPr>
          <w:i/>
        </w:rPr>
        <w:t>erheid bij stijgende welvaart</w:t>
      </w:r>
    </w:p>
    <w:p w14:paraId="37B28AF8" w14:textId="77777777" w:rsidR="00D33DE7" w:rsidRDefault="00D33DE7" w:rsidP="00D33DE7"/>
    <w:p w14:paraId="578A1B71" w14:textId="77777777" w:rsidR="00D33DE7" w:rsidRDefault="00D33DE7" w:rsidP="00D33DE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rPr>
          <w:b/>
        </w:rPr>
      </w:pPr>
      <w:r w:rsidRPr="00FF2EA3">
        <w:rPr>
          <w:b/>
        </w:rPr>
        <w:t>kop 2</w:t>
      </w:r>
    </w:p>
    <w:p w14:paraId="684BA599" w14:textId="77777777" w:rsidR="00D33DE7" w:rsidRPr="00FF2EA3" w:rsidRDefault="00D33DE7" w:rsidP="00D33DE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pPr>
      <w:r w:rsidRPr="00FF2EA3">
        <w:rPr>
          <w:i/>
        </w:rPr>
        <w:t>Overheid kan stapje terug</w:t>
      </w:r>
      <w:r>
        <w:rPr>
          <w:i/>
        </w:rPr>
        <w:t xml:space="preserve"> </w:t>
      </w:r>
      <w:r w:rsidRPr="00FF2EA3">
        <w:rPr>
          <w:i/>
        </w:rPr>
        <w:t>doen bij stijgende welvaart</w:t>
      </w:r>
    </w:p>
    <w:p w14:paraId="391CDFD6" w14:textId="77777777" w:rsidR="00D33DE7" w:rsidRDefault="00D33DE7" w:rsidP="00D33DE7"/>
    <w:p w14:paraId="23C3D4E2" w14:textId="1A441AED" w:rsidR="00D33DE7" w:rsidRPr="00FF2EA3" w:rsidRDefault="00D33DE7" w:rsidP="00D33DE7">
      <w:r w:rsidRPr="00FF2EA3">
        <w:t>Vanuit de samenleving wordt voortdurend druk op de overheid uitgeoefend om de collectieve uitgaven (</w:t>
      </w:r>
      <w:r w:rsidR="00E72764">
        <w:t>=</w:t>
      </w:r>
      <w:r w:rsidRPr="00FF2EA3">
        <w:t>overheidsuitgaven inclusief sociale uitkeringen) te verhogen. Tegelijkertijd vinden veel politici dat het tekort van de overheid moet worden beperkt. Een en ander is voor politici aanleiding om strikte criteria te formuleren bij het te voeren overheidsuitgavenbeleid. Zo vinden sommigen dat de overheid de overheidsuitgavenquote constant moet houden. Anderen zijn strenger en pleiten er voor de reële overheidsuitgaven constant te houden.</w:t>
      </w:r>
    </w:p>
    <w:p w14:paraId="2ACAA829" w14:textId="77777777" w:rsidR="00D33DE7" w:rsidRPr="00FF2EA3" w:rsidRDefault="00D33DE7" w:rsidP="00D33DE7"/>
    <w:p w14:paraId="3BA2005E" w14:textId="77777777" w:rsidR="00D33DE7" w:rsidRPr="00000A57" w:rsidRDefault="00D33DE7" w:rsidP="00D33DE7">
      <w:pPr>
        <w:rPr>
          <w:b/>
          <w:bCs/>
        </w:rPr>
      </w:pPr>
      <w:r w:rsidRPr="00000A57">
        <w:rPr>
          <w:b/>
          <w:bCs/>
        </w:rPr>
        <w:lastRenderedPageBreak/>
        <w:t>tabel</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398"/>
        <w:gridCol w:w="932"/>
        <w:gridCol w:w="933"/>
        <w:gridCol w:w="933"/>
        <w:gridCol w:w="933"/>
        <w:gridCol w:w="933"/>
      </w:tblGrid>
      <w:tr w:rsidR="00D33DE7" w:rsidRPr="00FF2EA3" w14:paraId="5BE779C7" w14:textId="77777777" w:rsidTr="006805BC">
        <w:tc>
          <w:tcPr>
            <w:tcW w:w="9212" w:type="dxa"/>
            <w:gridSpan w:val="6"/>
            <w:shd w:val="clear" w:color="auto" w:fill="auto"/>
          </w:tcPr>
          <w:p w14:paraId="50F4D6F6" w14:textId="4C6FD3C1" w:rsidR="00D33DE7" w:rsidRPr="00FF2EA3" w:rsidRDefault="00D33DE7" w:rsidP="006805BC">
            <w:pPr>
              <w:rPr>
                <w:b/>
              </w:rPr>
            </w:pPr>
            <w:r w:rsidRPr="00FF2EA3">
              <w:rPr>
                <w:b/>
              </w:rPr>
              <w:t>Ontwikkeling enkele macro-economische grootheden in de periode 20</w:t>
            </w:r>
            <w:r w:rsidR="00AA16C8">
              <w:rPr>
                <w:b/>
              </w:rPr>
              <w:t>2</w:t>
            </w:r>
            <w:r w:rsidRPr="00FF2EA3">
              <w:rPr>
                <w:b/>
              </w:rPr>
              <w:t>1-202</w:t>
            </w:r>
            <w:r w:rsidR="00AA16C8">
              <w:rPr>
                <w:b/>
              </w:rPr>
              <w:t>5</w:t>
            </w:r>
          </w:p>
        </w:tc>
      </w:tr>
      <w:tr w:rsidR="00D33DE7" w:rsidRPr="00FF2EA3" w14:paraId="4B545A10" w14:textId="77777777" w:rsidTr="006805BC">
        <w:tc>
          <w:tcPr>
            <w:tcW w:w="4503" w:type="dxa"/>
            <w:shd w:val="clear" w:color="auto" w:fill="auto"/>
          </w:tcPr>
          <w:p w14:paraId="5A379C09" w14:textId="77777777" w:rsidR="00D33DE7" w:rsidRPr="00FF2EA3" w:rsidRDefault="00D33DE7" w:rsidP="006805BC">
            <w:pPr>
              <w:rPr>
                <w:b/>
              </w:rPr>
            </w:pPr>
          </w:p>
        </w:tc>
        <w:tc>
          <w:tcPr>
            <w:tcW w:w="941" w:type="dxa"/>
            <w:shd w:val="clear" w:color="auto" w:fill="auto"/>
          </w:tcPr>
          <w:p w14:paraId="2269EFD2" w14:textId="4B4E2CE8" w:rsidR="00D33DE7" w:rsidRPr="00FF2EA3" w:rsidRDefault="00D33DE7" w:rsidP="006805BC">
            <w:pPr>
              <w:rPr>
                <w:b/>
              </w:rPr>
            </w:pPr>
            <w:r w:rsidRPr="00FF2EA3">
              <w:rPr>
                <w:b/>
              </w:rPr>
              <w:t>20</w:t>
            </w:r>
            <w:r w:rsidR="00AA16C8">
              <w:rPr>
                <w:b/>
              </w:rPr>
              <w:t>21</w:t>
            </w:r>
          </w:p>
        </w:tc>
        <w:tc>
          <w:tcPr>
            <w:tcW w:w="942" w:type="dxa"/>
            <w:shd w:val="clear" w:color="auto" w:fill="auto"/>
          </w:tcPr>
          <w:p w14:paraId="55220A01" w14:textId="06D5694E" w:rsidR="00D33DE7" w:rsidRPr="00FF2EA3" w:rsidRDefault="00D33DE7" w:rsidP="006805BC">
            <w:pPr>
              <w:rPr>
                <w:b/>
              </w:rPr>
            </w:pPr>
            <w:r w:rsidRPr="00FF2EA3">
              <w:rPr>
                <w:b/>
              </w:rPr>
              <w:t>20</w:t>
            </w:r>
            <w:r w:rsidR="00AA16C8">
              <w:rPr>
                <w:b/>
              </w:rPr>
              <w:t>22</w:t>
            </w:r>
          </w:p>
        </w:tc>
        <w:tc>
          <w:tcPr>
            <w:tcW w:w="942" w:type="dxa"/>
            <w:shd w:val="clear" w:color="auto" w:fill="auto"/>
          </w:tcPr>
          <w:p w14:paraId="15E6A37B" w14:textId="4DDB9B92" w:rsidR="00D33DE7" w:rsidRPr="00FF2EA3" w:rsidRDefault="00D33DE7" w:rsidP="006805BC">
            <w:pPr>
              <w:rPr>
                <w:b/>
              </w:rPr>
            </w:pPr>
            <w:r w:rsidRPr="00FF2EA3">
              <w:rPr>
                <w:b/>
              </w:rPr>
              <w:t>20</w:t>
            </w:r>
            <w:r w:rsidR="00AA16C8">
              <w:rPr>
                <w:b/>
              </w:rPr>
              <w:t>23</w:t>
            </w:r>
          </w:p>
        </w:tc>
        <w:tc>
          <w:tcPr>
            <w:tcW w:w="942" w:type="dxa"/>
            <w:shd w:val="clear" w:color="auto" w:fill="auto"/>
          </w:tcPr>
          <w:p w14:paraId="4C1A545D" w14:textId="3F3F4286" w:rsidR="00D33DE7" w:rsidRPr="00FF2EA3" w:rsidRDefault="00D33DE7" w:rsidP="006805BC">
            <w:pPr>
              <w:rPr>
                <w:b/>
              </w:rPr>
            </w:pPr>
            <w:r w:rsidRPr="00FF2EA3">
              <w:rPr>
                <w:b/>
              </w:rPr>
              <w:t>20</w:t>
            </w:r>
            <w:r w:rsidR="00AA16C8">
              <w:rPr>
                <w:b/>
              </w:rPr>
              <w:t>24</w:t>
            </w:r>
          </w:p>
        </w:tc>
        <w:tc>
          <w:tcPr>
            <w:tcW w:w="942" w:type="dxa"/>
            <w:shd w:val="clear" w:color="auto" w:fill="auto"/>
          </w:tcPr>
          <w:p w14:paraId="292353D8" w14:textId="74D2BC59" w:rsidR="00D33DE7" w:rsidRPr="00FF2EA3" w:rsidRDefault="00D33DE7" w:rsidP="006805BC">
            <w:pPr>
              <w:rPr>
                <w:b/>
              </w:rPr>
            </w:pPr>
            <w:r w:rsidRPr="00FF2EA3">
              <w:rPr>
                <w:b/>
              </w:rPr>
              <w:t>202</w:t>
            </w:r>
            <w:r w:rsidR="00AA16C8">
              <w:rPr>
                <w:b/>
              </w:rPr>
              <w:t>5</w:t>
            </w:r>
          </w:p>
        </w:tc>
      </w:tr>
      <w:tr w:rsidR="00D33DE7" w:rsidRPr="00FF2EA3" w14:paraId="601CEEA3" w14:textId="77777777" w:rsidTr="006805BC">
        <w:tc>
          <w:tcPr>
            <w:tcW w:w="4503" w:type="dxa"/>
            <w:shd w:val="clear" w:color="auto" w:fill="auto"/>
          </w:tcPr>
          <w:p w14:paraId="7E0FF46C" w14:textId="77777777" w:rsidR="00D33DE7" w:rsidRPr="00FF2EA3" w:rsidRDefault="00D33DE7" w:rsidP="006805BC">
            <w:r w:rsidRPr="00FF2EA3">
              <w:t>binnenlands product (miljarden euro's)</w:t>
            </w:r>
          </w:p>
        </w:tc>
        <w:tc>
          <w:tcPr>
            <w:tcW w:w="941" w:type="dxa"/>
            <w:shd w:val="clear" w:color="auto" w:fill="auto"/>
          </w:tcPr>
          <w:p w14:paraId="4520C08E" w14:textId="77777777" w:rsidR="00D33DE7" w:rsidRPr="00FF2EA3" w:rsidRDefault="00D33DE7" w:rsidP="006805BC">
            <w:r w:rsidRPr="00FF2EA3">
              <w:t>374,1</w:t>
            </w:r>
          </w:p>
        </w:tc>
        <w:tc>
          <w:tcPr>
            <w:tcW w:w="942" w:type="dxa"/>
            <w:shd w:val="clear" w:color="auto" w:fill="auto"/>
          </w:tcPr>
          <w:p w14:paraId="1487E207" w14:textId="77777777" w:rsidR="00D33DE7" w:rsidRPr="00FF2EA3" w:rsidRDefault="00D33DE7" w:rsidP="006805BC">
            <w:r w:rsidRPr="00FF2EA3">
              <w:t>402,6</w:t>
            </w:r>
          </w:p>
        </w:tc>
        <w:tc>
          <w:tcPr>
            <w:tcW w:w="942" w:type="dxa"/>
            <w:shd w:val="clear" w:color="auto" w:fill="auto"/>
          </w:tcPr>
          <w:p w14:paraId="3BF6E33C" w14:textId="77777777" w:rsidR="00D33DE7" w:rsidRPr="00FF2EA3" w:rsidRDefault="00D33DE7" w:rsidP="006805BC">
            <w:r w:rsidRPr="00FF2EA3">
              <w:t>429,2</w:t>
            </w:r>
          </w:p>
        </w:tc>
        <w:tc>
          <w:tcPr>
            <w:tcW w:w="942" w:type="dxa"/>
            <w:shd w:val="clear" w:color="auto" w:fill="auto"/>
          </w:tcPr>
          <w:p w14:paraId="09785396" w14:textId="77777777" w:rsidR="00D33DE7" w:rsidRPr="00FF2EA3" w:rsidRDefault="00D33DE7" w:rsidP="006805BC">
            <w:r w:rsidRPr="00FF2EA3">
              <w:t>448,2</w:t>
            </w:r>
          </w:p>
        </w:tc>
        <w:tc>
          <w:tcPr>
            <w:tcW w:w="942" w:type="dxa"/>
            <w:shd w:val="clear" w:color="auto" w:fill="auto"/>
          </w:tcPr>
          <w:p w14:paraId="682B4C59" w14:textId="77777777" w:rsidR="00D33DE7" w:rsidRPr="00FF2EA3" w:rsidRDefault="00D33DE7" w:rsidP="006805BC">
            <w:r w:rsidRPr="00FF2EA3">
              <w:t>469,6</w:t>
            </w:r>
          </w:p>
        </w:tc>
      </w:tr>
      <w:tr w:rsidR="00D33DE7" w:rsidRPr="00FF2EA3" w14:paraId="0FBFA389" w14:textId="77777777" w:rsidTr="006805BC">
        <w:tc>
          <w:tcPr>
            <w:tcW w:w="4503" w:type="dxa"/>
            <w:shd w:val="clear" w:color="auto" w:fill="auto"/>
          </w:tcPr>
          <w:p w14:paraId="50FBCA2A" w14:textId="77777777" w:rsidR="00D33DE7" w:rsidRPr="00FF2EA3" w:rsidRDefault="00D33DE7" w:rsidP="006805BC">
            <w:r w:rsidRPr="00FF2EA3">
              <w:t>overheidsinkomensquote</w:t>
            </w:r>
            <w:r w:rsidRPr="00FF2EA3">
              <w:rPr>
                <w:vertAlign w:val="superscript"/>
              </w:rPr>
              <w:t>1)</w:t>
            </w:r>
          </w:p>
        </w:tc>
        <w:tc>
          <w:tcPr>
            <w:tcW w:w="941" w:type="dxa"/>
            <w:shd w:val="clear" w:color="auto" w:fill="auto"/>
          </w:tcPr>
          <w:p w14:paraId="66879D20" w14:textId="77777777" w:rsidR="00D33DE7" w:rsidRPr="00FF2EA3" w:rsidRDefault="00D33DE7" w:rsidP="006805BC">
            <w:r w:rsidRPr="00FF2EA3">
              <w:t>41,2</w:t>
            </w:r>
          </w:p>
        </w:tc>
        <w:tc>
          <w:tcPr>
            <w:tcW w:w="942" w:type="dxa"/>
            <w:shd w:val="clear" w:color="auto" w:fill="auto"/>
          </w:tcPr>
          <w:p w14:paraId="7BA3B5BB" w14:textId="77777777" w:rsidR="00D33DE7" w:rsidRPr="00FF2EA3" w:rsidRDefault="00D33DE7" w:rsidP="006805BC">
            <w:r w:rsidRPr="00FF2EA3">
              <w:t>41,0</w:t>
            </w:r>
          </w:p>
        </w:tc>
        <w:tc>
          <w:tcPr>
            <w:tcW w:w="942" w:type="dxa"/>
            <w:shd w:val="clear" w:color="auto" w:fill="auto"/>
          </w:tcPr>
          <w:p w14:paraId="527FB05B" w14:textId="77777777" w:rsidR="00D33DE7" w:rsidRPr="00FF2EA3" w:rsidRDefault="00D33DE7" w:rsidP="006805BC">
            <w:r w:rsidRPr="00FF2EA3">
              <w:t>39,8</w:t>
            </w:r>
          </w:p>
        </w:tc>
        <w:tc>
          <w:tcPr>
            <w:tcW w:w="942" w:type="dxa"/>
            <w:shd w:val="clear" w:color="auto" w:fill="auto"/>
          </w:tcPr>
          <w:p w14:paraId="079D82C8" w14:textId="77777777" w:rsidR="00D33DE7" w:rsidRPr="00FF2EA3" w:rsidRDefault="00D33DE7" w:rsidP="006805BC">
            <w:r w:rsidRPr="00FF2EA3">
              <w:t>39,8</w:t>
            </w:r>
          </w:p>
        </w:tc>
        <w:tc>
          <w:tcPr>
            <w:tcW w:w="942" w:type="dxa"/>
            <w:shd w:val="clear" w:color="auto" w:fill="auto"/>
          </w:tcPr>
          <w:p w14:paraId="40AEDF77" w14:textId="77777777" w:rsidR="00D33DE7" w:rsidRPr="00FF2EA3" w:rsidRDefault="00D33DE7" w:rsidP="006805BC">
            <w:r w:rsidRPr="00FF2EA3">
              <w:t>39,8</w:t>
            </w:r>
          </w:p>
        </w:tc>
      </w:tr>
      <w:tr w:rsidR="00D33DE7" w:rsidRPr="00FF2EA3" w14:paraId="55BC4BE0" w14:textId="77777777" w:rsidTr="006805BC">
        <w:tc>
          <w:tcPr>
            <w:tcW w:w="4503" w:type="dxa"/>
            <w:shd w:val="clear" w:color="auto" w:fill="auto"/>
          </w:tcPr>
          <w:p w14:paraId="45F1874D" w14:textId="77777777" w:rsidR="00D33DE7" w:rsidRPr="00FF2EA3" w:rsidRDefault="00D33DE7" w:rsidP="006805BC">
            <w:r w:rsidRPr="00FF2EA3">
              <w:t>overheidsuitgavenquote</w:t>
            </w:r>
            <w:r w:rsidRPr="00FF2EA3">
              <w:rPr>
                <w:vertAlign w:val="superscript"/>
              </w:rPr>
              <w:t>1)</w:t>
            </w:r>
          </w:p>
        </w:tc>
        <w:tc>
          <w:tcPr>
            <w:tcW w:w="941" w:type="dxa"/>
            <w:shd w:val="clear" w:color="auto" w:fill="auto"/>
          </w:tcPr>
          <w:p w14:paraId="5DE06837" w14:textId="77777777" w:rsidR="00D33DE7" w:rsidRPr="00FF2EA3" w:rsidRDefault="00D33DE7" w:rsidP="006805BC">
            <w:r w:rsidRPr="00FF2EA3">
              <w:t>41,7</w:t>
            </w:r>
          </w:p>
        </w:tc>
        <w:tc>
          <w:tcPr>
            <w:tcW w:w="942" w:type="dxa"/>
            <w:shd w:val="clear" w:color="auto" w:fill="auto"/>
          </w:tcPr>
          <w:p w14:paraId="050AFE9E" w14:textId="77777777" w:rsidR="00D33DE7" w:rsidRPr="00FF2EA3" w:rsidRDefault="00D33DE7" w:rsidP="006805BC">
            <w:r w:rsidRPr="00FF2EA3">
              <w:t>39,6</w:t>
            </w:r>
          </w:p>
        </w:tc>
        <w:tc>
          <w:tcPr>
            <w:tcW w:w="942" w:type="dxa"/>
            <w:shd w:val="clear" w:color="auto" w:fill="auto"/>
          </w:tcPr>
          <w:p w14:paraId="11D6B7D0" w14:textId="77777777" w:rsidR="00D33DE7" w:rsidRPr="00FF2EA3" w:rsidRDefault="00D33DE7" w:rsidP="006805BC">
            <w:r w:rsidRPr="00FF2EA3">
              <w:t>40,6</w:t>
            </w:r>
          </w:p>
        </w:tc>
        <w:tc>
          <w:tcPr>
            <w:tcW w:w="942" w:type="dxa"/>
            <w:shd w:val="clear" w:color="auto" w:fill="auto"/>
          </w:tcPr>
          <w:p w14:paraId="755653D1" w14:textId="77777777" w:rsidR="00D33DE7" w:rsidRPr="00FF2EA3" w:rsidRDefault="00D33DE7" w:rsidP="006805BC">
            <w:r w:rsidRPr="00FF2EA3">
              <w:t>40,6</w:t>
            </w:r>
          </w:p>
        </w:tc>
        <w:tc>
          <w:tcPr>
            <w:tcW w:w="942" w:type="dxa"/>
            <w:shd w:val="clear" w:color="auto" w:fill="auto"/>
          </w:tcPr>
          <w:p w14:paraId="0BDA6E0B" w14:textId="77777777" w:rsidR="00D33DE7" w:rsidRPr="00FF2EA3" w:rsidRDefault="00D33DE7" w:rsidP="006805BC">
            <w:r w:rsidRPr="00FF2EA3">
              <w:t>40,5</w:t>
            </w:r>
          </w:p>
        </w:tc>
      </w:tr>
      <w:tr w:rsidR="00D33DE7" w:rsidRPr="00FF2EA3" w14:paraId="09789D07" w14:textId="77777777" w:rsidTr="006805BC">
        <w:tc>
          <w:tcPr>
            <w:tcW w:w="4503" w:type="dxa"/>
            <w:shd w:val="clear" w:color="auto" w:fill="auto"/>
          </w:tcPr>
          <w:p w14:paraId="33B7ACD6" w14:textId="501EA1F1" w:rsidR="00D33DE7" w:rsidRPr="00FF2EA3" w:rsidRDefault="00D33DE7" w:rsidP="006805BC">
            <w:r w:rsidRPr="00FF2EA3">
              <w:t>prijspeil (index: 20</w:t>
            </w:r>
            <w:r w:rsidR="00AA16C8">
              <w:t>21</w:t>
            </w:r>
            <w:r w:rsidRPr="00FF2EA3">
              <w:t xml:space="preserve"> = 100)</w:t>
            </w:r>
          </w:p>
        </w:tc>
        <w:tc>
          <w:tcPr>
            <w:tcW w:w="941" w:type="dxa"/>
            <w:shd w:val="clear" w:color="auto" w:fill="auto"/>
          </w:tcPr>
          <w:p w14:paraId="286E6D21" w14:textId="77777777" w:rsidR="00D33DE7" w:rsidRPr="00FF2EA3" w:rsidRDefault="00D33DE7" w:rsidP="006805BC">
            <w:r w:rsidRPr="00FF2EA3">
              <w:t>100,0</w:t>
            </w:r>
          </w:p>
        </w:tc>
        <w:tc>
          <w:tcPr>
            <w:tcW w:w="942" w:type="dxa"/>
            <w:shd w:val="clear" w:color="auto" w:fill="auto"/>
          </w:tcPr>
          <w:p w14:paraId="2F5D473B" w14:textId="77777777" w:rsidR="00D33DE7" w:rsidRPr="00FF2EA3" w:rsidRDefault="00D33DE7" w:rsidP="006805BC">
            <w:r w:rsidRPr="00FF2EA3">
              <w:t>104,2</w:t>
            </w:r>
          </w:p>
        </w:tc>
        <w:tc>
          <w:tcPr>
            <w:tcW w:w="942" w:type="dxa"/>
            <w:shd w:val="clear" w:color="auto" w:fill="auto"/>
          </w:tcPr>
          <w:p w14:paraId="28827DC6" w14:textId="77777777" w:rsidR="00D33DE7" w:rsidRPr="00FF2EA3" w:rsidRDefault="00D33DE7" w:rsidP="006805BC">
            <w:r w:rsidRPr="00FF2EA3">
              <w:t>113,8</w:t>
            </w:r>
          </w:p>
        </w:tc>
        <w:tc>
          <w:tcPr>
            <w:tcW w:w="942" w:type="dxa"/>
            <w:shd w:val="clear" w:color="auto" w:fill="auto"/>
          </w:tcPr>
          <w:p w14:paraId="311FD884" w14:textId="77777777" w:rsidR="00D33DE7" w:rsidRPr="00FF2EA3" w:rsidRDefault="00D33DE7" w:rsidP="006805BC">
            <w:r w:rsidRPr="00FF2EA3">
              <w:t>115,8</w:t>
            </w:r>
          </w:p>
        </w:tc>
        <w:tc>
          <w:tcPr>
            <w:tcW w:w="942" w:type="dxa"/>
            <w:shd w:val="clear" w:color="auto" w:fill="auto"/>
          </w:tcPr>
          <w:p w14:paraId="2DC213A6" w14:textId="77777777" w:rsidR="00D33DE7" w:rsidRPr="00FF2EA3" w:rsidRDefault="00D33DE7" w:rsidP="006805BC">
            <w:r w:rsidRPr="00FF2EA3">
              <w:t>118,1</w:t>
            </w:r>
          </w:p>
        </w:tc>
      </w:tr>
      <w:tr w:rsidR="00D33DE7" w:rsidRPr="00FF2EA3" w14:paraId="16FDA3F1" w14:textId="77777777" w:rsidTr="006805BC">
        <w:tc>
          <w:tcPr>
            <w:tcW w:w="9212" w:type="dxa"/>
            <w:gridSpan w:val="6"/>
            <w:shd w:val="clear" w:color="auto" w:fill="auto"/>
          </w:tcPr>
          <w:p w14:paraId="732CC139" w14:textId="77777777" w:rsidR="00D33DE7" w:rsidRPr="00FF2EA3" w:rsidRDefault="00D33DE7" w:rsidP="006805BC">
            <w:pPr>
              <w:rPr>
                <w:b/>
                <w:bCs/>
                <w:i/>
                <w:iCs/>
              </w:rPr>
            </w:pPr>
            <w:r w:rsidRPr="00FF2EA3">
              <w:rPr>
                <w:vertAlign w:val="superscript"/>
              </w:rPr>
              <w:t>1)</w:t>
            </w:r>
            <w:r w:rsidRPr="00FF2EA3">
              <w:t xml:space="preserve"> in procenten van het bruto binnenlands product (bbp)</w:t>
            </w:r>
          </w:p>
        </w:tc>
      </w:tr>
    </w:tbl>
    <w:p w14:paraId="1B870E53" w14:textId="77777777" w:rsidR="00D33DE7" w:rsidRPr="00FF2EA3" w:rsidRDefault="00D33DE7" w:rsidP="00D33DE7">
      <w:r w:rsidRPr="00FF2EA3">
        <w:tab/>
        <w:t xml:space="preserve"> </w:t>
      </w:r>
    </w:p>
    <w:p w14:paraId="273D3B5A" w14:textId="77777777" w:rsidR="00D33DE7" w:rsidRDefault="00D33DE7" w:rsidP="00D33DE7">
      <w:r>
        <w:t xml:space="preserve">a. </w:t>
      </w:r>
      <w:r w:rsidRPr="00FF2EA3">
        <w:t>Welke krantenkop past het best bij het criterium om de overheidsuitgavenquote constant te houden? Verklaar het antwoord.</w:t>
      </w:r>
    </w:p>
    <w:p w14:paraId="731AC42F" w14:textId="77777777" w:rsidR="00D33DE7" w:rsidRPr="00FF2EA3" w:rsidRDefault="00D33DE7" w:rsidP="00D33DE7">
      <w:r>
        <w:t xml:space="preserve">b. </w:t>
      </w:r>
      <w:r w:rsidRPr="00FF2EA3">
        <w:t xml:space="preserve">In welk jaar of welke jaren was er volgens </w:t>
      </w:r>
      <w:r>
        <w:t xml:space="preserve">de </w:t>
      </w:r>
      <w:r w:rsidRPr="00FF2EA3">
        <w:t>tabel sprake van een overschot bij de sector overheid?</w:t>
      </w:r>
    </w:p>
    <w:p w14:paraId="64E52CC4" w14:textId="0B80072C" w:rsidR="00D33DE7" w:rsidRPr="00FF2EA3" w:rsidRDefault="00D33DE7" w:rsidP="00D33DE7">
      <w:r>
        <w:t>c. Z</w:t>
      </w:r>
      <w:r w:rsidRPr="00FF2EA3">
        <w:t>ijn de reële collectieve uitgaven in 202</w:t>
      </w:r>
      <w:r w:rsidR="00AA16C8">
        <w:t>5</w:t>
      </w:r>
      <w:r w:rsidRPr="00FF2EA3">
        <w:t xml:space="preserve"> ten opzichte van 20</w:t>
      </w:r>
      <w:r w:rsidR="00AA16C8">
        <w:t>2</w:t>
      </w:r>
      <w:r w:rsidRPr="00FF2EA3">
        <w:t>1 gestegen of gedaald? Verklaar het antwoord met een berekening.</w:t>
      </w:r>
    </w:p>
    <w:p w14:paraId="46F35868" w14:textId="77777777" w:rsidR="00D33DE7" w:rsidRPr="00FF2EA3" w:rsidRDefault="00D33DE7" w:rsidP="00D33DE7">
      <w:r>
        <w:t xml:space="preserve">d. </w:t>
      </w:r>
      <w:r w:rsidRPr="00FF2EA3">
        <w:t>Leg uit hoe een stijging van het bruto binnenlands product bij een gelijkblijvend overheidssaldo tot een stijging van de overheidsuitgaven kan leiden.</w:t>
      </w:r>
    </w:p>
    <w:p w14:paraId="00937BA1" w14:textId="77777777" w:rsidR="00D33DE7" w:rsidRPr="00FF2EA3" w:rsidRDefault="00D33DE7" w:rsidP="00D33DE7">
      <w:r>
        <w:t xml:space="preserve">e. </w:t>
      </w:r>
      <w:r w:rsidRPr="00FF2EA3">
        <w:t>Leg aan de hand van een voorbeeld uit dat een stijging van de overheidsuitgaven kan helpen om een stijging van het potentiële bruto binnenlands product op termijn mogelijk te maken.</w:t>
      </w:r>
    </w:p>
    <w:p w14:paraId="34FA8DE8" w14:textId="77777777" w:rsidR="00D33DE7" w:rsidRPr="00FF2EA3" w:rsidRDefault="00D33DE7" w:rsidP="00D33DE7">
      <w:pPr>
        <w:rPr>
          <w:b/>
        </w:rPr>
      </w:pPr>
      <w:r w:rsidRPr="00FF2EA3">
        <w:br w:type="page"/>
      </w:r>
      <w:r w:rsidR="00FF124B" w:rsidRPr="00FF2EA3">
        <w:rPr>
          <w:b/>
        </w:rPr>
        <w:fldChar w:fldCharType="begin"/>
      </w:r>
      <w:r w:rsidRPr="00FF2EA3">
        <w:rPr>
          <w:b/>
        </w:rPr>
        <w:instrText xml:space="preserve"> SEQ CHAPTER \h \r 1</w:instrText>
      </w:r>
      <w:r w:rsidR="00FF124B" w:rsidRPr="00FF2EA3">
        <w:fldChar w:fldCharType="end"/>
      </w:r>
    </w:p>
    <w:p w14:paraId="0B22BC87" w14:textId="77777777" w:rsidR="00D33DE7" w:rsidRPr="00594D22" w:rsidRDefault="00D33DE7" w:rsidP="00D33DE7">
      <w:pPr>
        <w:rPr>
          <w:b/>
        </w:rPr>
      </w:pPr>
      <w:r w:rsidRPr="00594D22">
        <w:rPr>
          <w:b/>
        </w:rPr>
        <w:lastRenderedPageBreak/>
        <w:t>Uitwerking</w:t>
      </w:r>
      <w:r>
        <w:rPr>
          <w:b/>
        </w:rPr>
        <w:t xml:space="preserve"> opgave 2.1</w:t>
      </w:r>
    </w:p>
    <w:p w14:paraId="4EA72B58" w14:textId="77777777" w:rsidR="00D33DE7" w:rsidRPr="00594D22" w:rsidRDefault="00D33DE7" w:rsidP="00D33DE7">
      <w:r>
        <w:t xml:space="preserve">a. </w:t>
      </w:r>
      <w:r w:rsidRPr="00594D22">
        <w:t xml:space="preserve">De overheidsinkomsten stijgen doordat de overheid meer loonbelasting, vennootschapsbelasting </w:t>
      </w:r>
      <w:r>
        <w:t>en</w:t>
      </w:r>
      <w:r w:rsidRPr="00594D22">
        <w:t xml:space="preserve"> btw ontvangt als het beter gaat met de economie.</w:t>
      </w:r>
      <w:r>
        <w:t xml:space="preserve"> </w:t>
      </w:r>
      <w:r w:rsidRPr="00594D22">
        <w:t xml:space="preserve">De overheidsuitgaven dalen omdat de overheid minder uitkeringen/ toeslagen aan werklozen </w:t>
      </w:r>
      <w:r>
        <w:t>h</w:t>
      </w:r>
      <w:r w:rsidRPr="00594D22">
        <w:t>oe</w:t>
      </w:r>
      <w:r>
        <w:t>f</w:t>
      </w:r>
      <w:r w:rsidRPr="00594D22">
        <w:t>t</w:t>
      </w:r>
      <w:r>
        <w:t xml:space="preserve"> te</w:t>
      </w:r>
      <w:r w:rsidRPr="00594D22">
        <w:t xml:space="preserve"> geven. </w:t>
      </w:r>
    </w:p>
    <w:p w14:paraId="7E36BC2C" w14:textId="77777777" w:rsidR="00D33DE7" w:rsidRPr="00594D22" w:rsidRDefault="00D33DE7" w:rsidP="00D33DE7">
      <w:r>
        <w:t xml:space="preserve">b. </w:t>
      </w:r>
      <w:r w:rsidRPr="00594D22">
        <w:t>Een anticyclische werking.</w:t>
      </w:r>
    </w:p>
    <w:p w14:paraId="14DDED68" w14:textId="4D31A710" w:rsidR="00D33DE7" w:rsidRPr="00594D22" w:rsidRDefault="00D33DE7" w:rsidP="00D33DE7">
      <w:r w:rsidRPr="00594D22">
        <w:t xml:space="preserve">De groei van de overheidsuitgaven ligt vast op de </w:t>
      </w:r>
      <w:r w:rsidR="0087341A">
        <w:t>verwachte groei van het potentiële bbp</w:t>
      </w:r>
      <w:r w:rsidRPr="00594D22">
        <w:t>, terwijl de feitelijke overheidsontvangsten afhankelijk zijn van de conjuncturele ontwikkeling.</w:t>
      </w:r>
    </w:p>
    <w:p w14:paraId="637521A0" w14:textId="77777777" w:rsidR="006B3275" w:rsidRDefault="00D33DE7" w:rsidP="00D33DE7">
      <w:r w:rsidRPr="00594D22">
        <w:t>In een hoogconjunctuur nemen de belastingontvangsten relatief sterker toe dan de overheidsuitgaven, waardoor de bestedingen worden afgeremd / In een laagconjunctuur nemen de belastingontvangsten relatief minder sterk toe dan de overheidsuitgaven, waardoor de bestedingen worden gestimuleerd.</w:t>
      </w:r>
    </w:p>
    <w:p w14:paraId="20E9675B" w14:textId="3B7A7206" w:rsidR="00D33DE7" w:rsidRPr="00594D22" w:rsidRDefault="00D33DE7" w:rsidP="00D33DE7">
      <w:r>
        <w:t xml:space="preserve">c. </w:t>
      </w:r>
      <w:r w:rsidRPr="00594D22">
        <w:t>Bij de huidige hoogconjunctuur moeten de bestedingen worden afgeremd om de positieve output gap te verkleinen. Door het afschaffen van de begrotingsnorm is er geen vast percentage meer waarmee de overheidsuitgaven mogen stijgen, dus bestaat de kans dat de overheidsuitgaven sterker gaan stijgen, waardoor de bestedingen juist verder gestimuleerd worden en de positieve output gap groter wordt.</w:t>
      </w:r>
    </w:p>
    <w:p w14:paraId="352EC6DB" w14:textId="77777777" w:rsidR="00D33DE7" w:rsidRDefault="00D33DE7" w:rsidP="00D33DE7">
      <w:r>
        <w:t xml:space="preserve">d. - </w:t>
      </w:r>
      <w:r w:rsidRPr="00594D22">
        <w:t>De positieve output gap betekent dat de bezettingsgraad van bedrijven hoog is, waardoor de kans op bestedingsinflatie toeneemt.</w:t>
      </w:r>
    </w:p>
    <w:p w14:paraId="5E8F8D42" w14:textId="77777777" w:rsidR="00D33DE7" w:rsidRDefault="00D33DE7" w:rsidP="00D33DE7">
      <w:r>
        <w:t xml:space="preserve">- </w:t>
      </w:r>
      <w:r w:rsidRPr="00594D22">
        <w:t>De positieve output gap betekent dat de arbeidsmarkt krap is, waardoor de kans op (loon)kosteninflatie toeneemt.</w:t>
      </w:r>
    </w:p>
    <w:p w14:paraId="442B04AD" w14:textId="77777777" w:rsidR="00D33DE7" w:rsidRDefault="00D33DE7" w:rsidP="00D33DE7"/>
    <w:p w14:paraId="415F49AC" w14:textId="77777777" w:rsidR="00D33DE7" w:rsidRPr="00594D22" w:rsidRDefault="00D33DE7" w:rsidP="00D33DE7">
      <w:pPr>
        <w:rPr>
          <w:b/>
        </w:rPr>
      </w:pPr>
      <w:r>
        <w:rPr>
          <w:b/>
        </w:rPr>
        <w:t>Uitwerking opgave 2.2</w:t>
      </w:r>
    </w:p>
    <w:p w14:paraId="7F9A29BE" w14:textId="77777777" w:rsidR="00D33DE7" w:rsidRPr="00FF2EA3" w:rsidRDefault="00D33DE7" w:rsidP="00D33DE7">
      <w:r>
        <w:t xml:space="preserve">a. </w:t>
      </w:r>
      <w:r w:rsidRPr="00FF2EA3">
        <w:t>kop 1</w:t>
      </w:r>
    </w:p>
    <w:p w14:paraId="58404B31" w14:textId="77777777" w:rsidR="00D33DE7" w:rsidRPr="00FF2EA3" w:rsidRDefault="00D33DE7" w:rsidP="00D33DE7">
      <w:r w:rsidRPr="00FF2EA3">
        <w:t xml:space="preserve">Een constante overheidsuitgavenquote betekent dat de overheidsuitgaven met hetzelfde percentage moeten groeien als het binnenlands product. </w:t>
      </w:r>
    </w:p>
    <w:p w14:paraId="359189AB" w14:textId="428E674A" w:rsidR="00D33DE7" w:rsidRPr="00FF2EA3" w:rsidRDefault="00D33DE7" w:rsidP="00D33DE7">
      <w:r>
        <w:t>b. I</w:t>
      </w:r>
      <w:r w:rsidRPr="00FF2EA3">
        <w:t>n 20</w:t>
      </w:r>
      <w:r w:rsidR="00C33642">
        <w:t>22</w:t>
      </w:r>
      <w:r>
        <w:t>.</w:t>
      </w:r>
    </w:p>
    <w:p w14:paraId="2B5B2A0F" w14:textId="77777777" w:rsidR="00D33DE7" w:rsidRPr="00FF2EA3" w:rsidRDefault="00D33DE7" w:rsidP="00D33DE7">
      <w:r>
        <w:t xml:space="preserve">c. </w:t>
      </w:r>
      <w:r w:rsidRPr="00FF2EA3">
        <w:t>Gestegen.</w:t>
      </w:r>
    </w:p>
    <w:p w14:paraId="6369391E" w14:textId="34B73799" w:rsidR="00D33DE7" w:rsidRPr="00FF2EA3" w:rsidRDefault="00D33DE7" w:rsidP="00D33DE7">
      <w:r w:rsidRPr="00FF2EA3">
        <w:t>Overheidsuitgaven 20</w:t>
      </w:r>
      <w:r w:rsidR="00C33642">
        <w:t>21</w:t>
      </w:r>
      <w:r w:rsidRPr="00FF2EA3">
        <w:t>: 0,417 × 374,1 miljard = € 156,0 miljard</w:t>
      </w:r>
    </w:p>
    <w:p w14:paraId="56C13287" w14:textId="73726510" w:rsidR="00D33DE7" w:rsidRPr="00FF2EA3" w:rsidRDefault="00D33DE7" w:rsidP="00D33DE7">
      <w:r w:rsidRPr="00FF2EA3">
        <w:t>Overheidsuitgaven in 202</w:t>
      </w:r>
      <w:r w:rsidR="00C33642">
        <w:t>5</w:t>
      </w:r>
      <w:r w:rsidRPr="00FF2EA3">
        <w:t>: 0,405 × 469,6 miljard = € 190,2 miljard</w:t>
      </w:r>
    </w:p>
    <w:p w14:paraId="4CBC3DD5" w14:textId="069C1751" w:rsidR="00D33DE7" w:rsidRPr="00FF2EA3" w:rsidRDefault="00D33DE7" w:rsidP="00D33DE7">
      <w:r w:rsidRPr="00FF2EA3">
        <w:t xml:space="preserve">Procentuele stijging collectieve uitgaven: {(190,2 </w:t>
      </w:r>
      <w:r w:rsidRPr="00FF2EA3">
        <w:sym w:font="Symbol" w:char="F02D"/>
      </w:r>
      <w:r w:rsidRPr="00FF2EA3">
        <w:t xml:space="preserve"> 156,0) / 156,0} × 100% = 21,9%</w:t>
      </w:r>
    </w:p>
    <w:p w14:paraId="6C9CF795" w14:textId="77777777" w:rsidR="00D33DE7" w:rsidRPr="00FF2EA3" w:rsidRDefault="00D33DE7" w:rsidP="00D33DE7">
      <w:r w:rsidRPr="00FF2EA3">
        <w:t>Dat is meer dan de inflatie (van 18,1%) in diezelfde periode.</w:t>
      </w:r>
    </w:p>
    <w:p w14:paraId="5CD2FBD9" w14:textId="77777777" w:rsidR="00D33DE7" w:rsidRPr="00FF2EA3" w:rsidRDefault="00D33DE7" w:rsidP="00D33DE7">
      <w:r>
        <w:t xml:space="preserve">d. </w:t>
      </w:r>
      <w:r w:rsidRPr="00FF2EA3">
        <w:t xml:space="preserve">Een stijging van het bruto binnenlands product leidt bij een gelijkblijvende </w:t>
      </w:r>
      <w:proofErr w:type="spellStart"/>
      <w:r w:rsidRPr="00FF2EA3">
        <w:t>overheidsinkomensquote</w:t>
      </w:r>
      <w:proofErr w:type="spellEnd"/>
      <w:r w:rsidRPr="00FF2EA3">
        <w:t xml:space="preserve"> tot een stijging van de ontvangsten van de collectieve sector, zodat er ruimte ontstaat voor meer uitgaven.</w:t>
      </w:r>
    </w:p>
    <w:p w14:paraId="23C7ABEA" w14:textId="0CF87962" w:rsidR="0033492E" w:rsidRPr="00CA7ABC" w:rsidRDefault="00D33DE7" w:rsidP="00CA7ABC">
      <w:r>
        <w:t xml:space="preserve">e. </w:t>
      </w:r>
      <w:r w:rsidRPr="00FF2EA3">
        <w:t>De overheid kan de voor productiegroei noodzakelijke randvoorwaarden scheppen in de sfeer van infrastructuur</w:t>
      </w:r>
      <w:r w:rsidR="00CA68A4">
        <w:t>/</w:t>
      </w:r>
      <w:r w:rsidRPr="00FF2EA3">
        <w:t>onderwijs etc., zodat investeringen toenemen. Hierdoor kan de hoeveelheid kapitaal/</w:t>
      </w:r>
      <w:bookmarkStart w:id="1" w:name="_GoBack"/>
      <w:bookmarkEnd w:id="1"/>
      <w:r w:rsidRPr="00FF2EA3">
        <w:t>totale factorproductiviteit groeien, waardoor het potentiële bbp kan groeien.</w:t>
      </w:r>
    </w:p>
    <w:sectPr w:rsidR="0033492E" w:rsidRPr="00CA7ABC" w:rsidSect="0033492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F1C7C" w14:textId="77777777" w:rsidR="00CA5176" w:rsidRDefault="00CA5176" w:rsidP="00DE78FB">
      <w:r>
        <w:separator/>
      </w:r>
    </w:p>
  </w:endnote>
  <w:endnote w:type="continuationSeparator" w:id="0">
    <w:p w14:paraId="20D79123" w14:textId="77777777" w:rsidR="00CA5176" w:rsidRDefault="00CA5176" w:rsidP="00DE7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Quadraat-Regular">
    <w:altName w:val="Calibri"/>
    <w:panose1 w:val="02010504070101020104"/>
    <w:charset w:val="00"/>
    <w:family w:val="auto"/>
    <w:pitch w:val="variable"/>
    <w:sig w:usb0="8000002F" w:usb1="4000004A" w:usb2="00000000" w:usb3="00000000" w:csb0="00000001" w:csb1="00000000"/>
  </w:font>
  <w:font w:name="QuadraatSans-Caps">
    <w:altName w:val="Calibri"/>
    <w:panose1 w:val="02010504050101020104"/>
    <w:charset w:val="00"/>
    <w:family w:val="auto"/>
    <w:pitch w:val="variable"/>
    <w:sig w:usb0="8000002F" w:usb1="4000004A" w:usb2="00000000" w:usb3="00000000" w:csb0="00000001" w:csb1="00000000"/>
  </w:font>
  <w:font w:name="QuadraatSansCon-Bold">
    <w:altName w:val="Calibri"/>
    <w:panose1 w:val="02010504050101020103"/>
    <w:charset w:val="00"/>
    <w:family w:val="auto"/>
    <w:pitch w:val="variable"/>
    <w:sig w:usb0="80000027" w:usb1="00000000" w:usb2="00000000" w:usb3="00000000" w:csb0="00000001" w:csb1="00000000"/>
  </w:font>
  <w:font w:name="QuadraatSansCon-Italic">
    <w:altName w:val="MV Boli"/>
    <w:panose1 w:val="02010504040101090104"/>
    <w:charset w:val="00"/>
    <w:family w:val="auto"/>
    <w:pitch w:val="variable"/>
    <w:sig w:usb0="80000027" w:usb1="00000000" w:usb2="00000000" w:usb3="00000000" w:csb0="00000001" w:csb1="00000000"/>
  </w:font>
  <w:font w:name="QuadraatSansCon-Regular">
    <w:altName w:val="Century"/>
    <w:panose1 w:val="02010504050101020103"/>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48FE4" w14:textId="77777777" w:rsidR="00905D2B" w:rsidRDefault="00905D2B">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FF8D6" w14:textId="77777777" w:rsidR="00905D2B" w:rsidRDefault="00905D2B">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B2554" w14:textId="77777777" w:rsidR="00905D2B" w:rsidRDefault="00905D2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6218A" w14:textId="77777777" w:rsidR="00CA5176" w:rsidRDefault="00CA5176" w:rsidP="00DE78FB">
      <w:r>
        <w:separator/>
      </w:r>
    </w:p>
  </w:footnote>
  <w:footnote w:type="continuationSeparator" w:id="0">
    <w:p w14:paraId="26DA2BEA" w14:textId="77777777" w:rsidR="00CA5176" w:rsidRDefault="00CA5176" w:rsidP="00DE78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7BCFB" w14:textId="77777777" w:rsidR="00905D2B" w:rsidRDefault="00905D2B">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3731298"/>
      <w:docPartObj>
        <w:docPartGallery w:val="Page Numbers (Top of Page)"/>
        <w:docPartUnique/>
      </w:docPartObj>
    </w:sdtPr>
    <w:sdtEndPr>
      <w:rPr>
        <w:rFonts w:cs="Arial"/>
        <w:sz w:val="16"/>
        <w:szCs w:val="16"/>
      </w:rPr>
    </w:sdtEndPr>
    <w:sdtContent>
      <w:p w14:paraId="1BF7CCA9" w14:textId="77777777" w:rsidR="00D6173D" w:rsidRPr="00D6173D" w:rsidRDefault="00D6173D">
        <w:pPr>
          <w:pStyle w:val="Koptekst"/>
          <w:jc w:val="right"/>
          <w:rPr>
            <w:rFonts w:cs="Arial"/>
            <w:sz w:val="16"/>
            <w:szCs w:val="16"/>
          </w:rPr>
        </w:pPr>
        <w:r>
          <w:rPr>
            <w:noProof/>
            <w:sz w:val="20"/>
            <w:szCs w:val="20"/>
          </w:rPr>
          <w:drawing>
            <wp:inline distT="0" distB="0" distL="0" distR="0" wp14:anchorId="237727B1" wp14:editId="2D3A708B">
              <wp:extent cx="342900" cy="3429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Pr="00BE1329">
          <w:rPr>
            <w:rFonts w:cs="Arial"/>
            <w:sz w:val="16"/>
            <w:szCs w:val="16"/>
          </w:rPr>
          <w:t xml:space="preserve"> </w:t>
        </w:r>
        <w:r w:rsidR="00FA7ECC">
          <w:rPr>
            <w:rFonts w:cs="Arial"/>
            <w:sz w:val="16"/>
            <w:szCs w:val="16"/>
          </w:rPr>
          <w:t>Economisch Beleid h2</w:t>
        </w:r>
        <w:r w:rsidRPr="00BE1329">
          <w:rPr>
            <w:rFonts w:cs="Arial"/>
            <w:sz w:val="16"/>
            <w:szCs w:val="16"/>
          </w:rPr>
          <w:t xml:space="preserve"> extra oefenopgaven (website)</w:t>
        </w:r>
        <w:r w:rsidR="008803E8">
          <w:rPr>
            <w:rFonts w:cs="Arial"/>
            <w:sz w:val="16"/>
            <w:szCs w:val="16"/>
          </w:rPr>
          <w:tab/>
        </w:r>
        <w:r>
          <w:rPr>
            <w:rFonts w:cs="Arial"/>
            <w:sz w:val="16"/>
            <w:szCs w:val="16"/>
          </w:rPr>
          <w:tab/>
        </w:r>
        <w:r w:rsidR="00FF124B" w:rsidRPr="00D6173D">
          <w:rPr>
            <w:rFonts w:cs="Arial"/>
            <w:sz w:val="16"/>
            <w:szCs w:val="16"/>
          </w:rPr>
          <w:fldChar w:fldCharType="begin"/>
        </w:r>
        <w:r w:rsidRPr="00D6173D">
          <w:rPr>
            <w:rFonts w:cs="Arial"/>
            <w:sz w:val="16"/>
            <w:szCs w:val="16"/>
          </w:rPr>
          <w:instrText>PAGE   \* MERGEFORMAT</w:instrText>
        </w:r>
        <w:r w:rsidR="00FF124B" w:rsidRPr="00D6173D">
          <w:rPr>
            <w:rFonts w:cs="Arial"/>
            <w:sz w:val="16"/>
            <w:szCs w:val="16"/>
          </w:rPr>
          <w:fldChar w:fldCharType="separate"/>
        </w:r>
        <w:r w:rsidR="00905D2B">
          <w:rPr>
            <w:rFonts w:cs="Arial"/>
            <w:noProof/>
            <w:sz w:val="16"/>
            <w:szCs w:val="16"/>
          </w:rPr>
          <w:t>3</w:t>
        </w:r>
        <w:r w:rsidR="00FF124B" w:rsidRPr="00D6173D">
          <w:rPr>
            <w:rFonts w:cs="Arial"/>
            <w:sz w:val="16"/>
            <w:szCs w:val="16"/>
          </w:rPr>
          <w:fldChar w:fldCharType="end"/>
        </w:r>
      </w:p>
    </w:sdtContent>
  </w:sdt>
  <w:p w14:paraId="0C7336BB" w14:textId="77777777" w:rsidR="00DE78FB" w:rsidRDefault="00DE78FB">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872B6" w14:textId="77777777" w:rsidR="00905D2B" w:rsidRDefault="00905D2B">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E4074"/>
    <w:multiLevelType w:val="hybridMultilevel"/>
    <w:tmpl w:val="D6FE747E"/>
    <w:lvl w:ilvl="0" w:tplc="B4A006FC">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F879B6"/>
    <w:multiLevelType w:val="hybridMultilevel"/>
    <w:tmpl w:val="07580F58"/>
    <w:lvl w:ilvl="0" w:tplc="B4A006FC">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8FB"/>
    <w:rsid w:val="00003885"/>
    <w:rsid w:val="00017F08"/>
    <w:rsid w:val="00057A53"/>
    <w:rsid w:val="00082499"/>
    <w:rsid w:val="000924AA"/>
    <w:rsid w:val="000B2871"/>
    <w:rsid w:val="000C03CE"/>
    <w:rsid w:val="000D2913"/>
    <w:rsid w:val="00113206"/>
    <w:rsid w:val="00124B3C"/>
    <w:rsid w:val="00134625"/>
    <w:rsid w:val="001F2EC8"/>
    <w:rsid w:val="00200CC2"/>
    <w:rsid w:val="00217FF8"/>
    <w:rsid w:val="00250D8F"/>
    <w:rsid w:val="00272FC3"/>
    <w:rsid w:val="002B15F0"/>
    <w:rsid w:val="002E4490"/>
    <w:rsid w:val="0033492E"/>
    <w:rsid w:val="00334C38"/>
    <w:rsid w:val="0037398A"/>
    <w:rsid w:val="00375740"/>
    <w:rsid w:val="003D3690"/>
    <w:rsid w:val="003E6879"/>
    <w:rsid w:val="00462E6E"/>
    <w:rsid w:val="00470328"/>
    <w:rsid w:val="004B09FB"/>
    <w:rsid w:val="004D116A"/>
    <w:rsid w:val="004D3AA6"/>
    <w:rsid w:val="005A538F"/>
    <w:rsid w:val="005A6AC8"/>
    <w:rsid w:val="00651C1F"/>
    <w:rsid w:val="006B3275"/>
    <w:rsid w:val="006C2F87"/>
    <w:rsid w:val="006D68DB"/>
    <w:rsid w:val="007730CD"/>
    <w:rsid w:val="0078269C"/>
    <w:rsid w:val="007C030C"/>
    <w:rsid w:val="00807E49"/>
    <w:rsid w:val="0087341A"/>
    <w:rsid w:val="008803E8"/>
    <w:rsid w:val="0089169A"/>
    <w:rsid w:val="00892230"/>
    <w:rsid w:val="00905D2B"/>
    <w:rsid w:val="0093214F"/>
    <w:rsid w:val="00933E22"/>
    <w:rsid w:val="009403DE"/>
    <w:rsid w:val="009B6EDB"/>
    <w:rsid w:val="00A4368D"/>
    <w:rsid w:val="00A523ED"/>
    <w:rsid w:val="00A8277E"/>
    <w:rsid w:val="00AA16C8"/>
    <w:rsid w:val="00B72874"/>
    <w:rsid w:val="00B80487"/>
    <w:rsid w:val="00BA3EE6"/>
    <w:rsid w:val="00C1446E"/>
    <w:rsid w:val="00C2176E"/>
    <w:rsid w:val="00C33642"/>
    <w:rsid w:val="00C45680"/>
    <w:rsid w:val="00C86E41"/>
    <w:rsid w:val="00C94E08"/>
    <w:rsid w:val="00CA5176"/>
    <w:rsid w:val="00CA68A4"/>
    <w:rsid w:val="00CA7ABC"/>
    <w:rsid w:val="00CC1D2D"/>
    <w:rsid w:val="00CF11A5"/>
    <w:rsid w:val="00CF2B2E"/>
    <w:rsid w:val="00CF72BF"/>
    <w:rsid w:val="00D33DE7"/>
    <w:rsid w:val="00D53993"/>
    <w:rsid w:val="00D6173D"/>
    <w:rsid w:val="00DE78FB"/>
    <w:rsid w:val="00DF123B"/>
    <w:rsid w:val="00E21E42"/>
    <w:rsid w:val="00E3501E"/>
    <w:rsid w:val="00E72764"/>
    <w:rsid w:val="00E76D1E"/>
    <w:rsid w:val="00E82EA0"/>
    <w:rsid w:val="00E9336F"/>
    <w:rsid w:val="00E96237"/>
    <w:rsid w:val="00EC47C9"/>
    <w:rsid w:val="00ED1353"/>
    <w:rsid w:val="00EF5C76"/>
    <w:rsid w:val="00F139A1"/>
    <w:rsid w:val="00F34887"/>
    <w:rsid w:val="00F378CA"/>
    <w:rsid w:val="00FA7ECC"/>
    <w:rsid w:val="00FC61F1"/>
    <w:rsid w:val="00FD4DCB"/>
    <w:rsid w:val="00FF12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C8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76D1E"/>
    <w:pPr>
      <w:spacing w:line="288" w:lineRule="auto"/>
    </w:pPr>
    <w:rPr>
      <w:rFonts w:ascii="Arial" w:hAnsi="Arial"/>
      <w:sz w:val="24"/>
      <w:szCs w:val="24"/>
    </w:rPr>
  </w:style>
  <w:style w:type="paragraph" w:styleId="Kop1">
    <w:name w:val="heading 1"/>
    <w:basedOn w:val="Standaard"/>
    <w:next w:val="Standaard"/>
    <w:link w:val="Kop1Char"/>
    <w:qFormat/>
    <w:rsid w:val="00BA3EE6"/>
    <w:pPr>
      <w:keepNext/>
      <w:outlineLvl w:val="0"/>
    </w:pPr>
    <w:rPr>
      <w:b/>
      <w:sz w:val="28"/>
      <w:szCs w:val="20"/>
      <w:u w:val="single"/>
    </w:rPr>
  </w:style>
  <w:style w:type="paragraph" w:styleId="Kop2">
    <w:name w:val="heading 2"/>
    <w:basedOn w:val="Standaard"/>
    <w:next w:val="Standaard"/>
    <w:link w:val="Kop2Char"/>
    <w:qFormat/>
    <w:rsid w:val="00BA3EE6"/>
    <w:pPr>
      <w:keepNext/>
      <w:outlineLvl w:val="1"/>
    </w:pPr>
    <w:rPr>
      <w:sz w:val="28"/>
      <w:szCs w:val="20"/>
    </w:rPr>
  </w:style>
  <w:style w:type="paragraph" w:styleId="Kop3">
    <w:name w:val="heading 3"/>
    <w:basedOn w:val="Standaard"/>
    <w:next w:val="Standaard"/>
    <w:link w:val="Kop3Char"/>
    <w:qFormat/>
    <w:rsid w:val="00BA3EE6"/>
    <w:pPr>
      <w:keepNext/>
      <w:spacing w:before="240" w:after="60"/>
      <w:outlineLvl w:val="2"/>
    </w:pPr>
    <w:rPr>
      <w:rFonts w:cs="Arial"/>
      <w:b/>
      <w:bCs/>
      <w:sz w:val="26"/>
      <w:szCs w:val="26"/>
    </w:rPr>
  </w:style>
  <w:style w:type="paragraph" w:styleId="Kop4">
    <w:name w:val="heading 4"/>
    <w:basedOn w:val="Standaard"/>
    <w:next w:val="Standaard"/>
    <w:link w:val="Kop4Char"/>
    <w:semiHidden/>
    <w:unhideWhenUsed/>
    <w:qFormat/>
    <w:rsid w:val="00BA3EE6"/>
    <w:pPr>
      <w:keepNext/>
      <w:spacing w:before="240" w:after="60"/>
      <w:outlineLvl w:val="3"/>
    </w:pPr>
    <w:rPr>
      <w:rFonts w:asciiTheme="minorHAnsi" w:eastAsiaTheme="minorEastAsia" w:hAnsiTheme="minorHAnsi" w:cstheme="minorBidi"/>
      <w:b/>
      <w:bCs/>
      <w:sz w:val="28"/>
      <w:szCs w:val="28"/>
    </w:rPr>
  </w:style>
  <w:style w:type="paragraph" w:styleId="Kop5">
    <w:name w:val="heading 5"/>
    <w:basedOn w:val="Standaard"/>
    <w:next w:val="Standaard"/>
    <w:link w:val="Kop5Char"/>
    <w:qFormat/>
    <w:rsid w:val="00BA3EE6"/>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aakprofiel1">
    <w:name w:val="Opmaakprofiel1"/>
    <w:basedOn w:val="Standaard"/>
    <w:link w:val="Opmaakprofiel1Char"/>
    <w:rsid w:val="00C86E41"/>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pPr>
    <w:rPr>
      <w:b/>
      <w:bCs/>
      <w:sz w:val="22"/>
      <w:szCs w:val="22"/>
    </w:rPr>
  </w:style>
  <w:style w:type="character" w:customStyle="1" w:styleId="Opmaakprofiel1Char">
    <w:name w:val="Opmaakprofiel1 Char"/>
    <w:basedOn w:val="Standaardalinea-lettertype"/>
    <w:link w:val="Opmaakprofiel1"/>
    <w:rsid w:val="00C86E41"/>
    <w:rPr>
      <w:rFonts w:ascii="Times New Roman" w:hAnsi="Times New Roman" w:cs="Arial"/>
      <w:b/>
      <w:bCs/>
    </w:rPr>
  </w:style>
  <w:style w:type="paragraph" w:customStyle="1" w:styleId="Opmaakprofiel2">
    <w:name w:val="Opmaakprofiel2"/>
    <w:basedOn w:val="Opmaakprofiel1"/>
    <w:link w:val="Opmaakprofiel2Char"/>
    <w:rsid w:val="00C86E41"/>
  </w:style>
  <w:style w:type="character" w:customStyle="1" w:styleId="Opmaakprofiel2Char">
    <w:name w:val="Opmaakprofiel2 Char"/>
    <w:basedOn w:val="Opmaakprofiel1Char"/>
    <w:link w:val="Opmaakprofiel2"/>
    <w:rsid w:val="00C86E41"/>
    <w:rPr>
      <w:rFonts w:ascii="Times New Roman" w:hAnsi="Times New Roman" w:cs="Arial"/>
      <w:b/>
      <w:bCs/>
    </w:rPr>
  </w:style>
  <w:style w:type="character" w:customStyle="1" w:styleId="Kop1Char">
    <w:name w:val="Kop 1 Char"/>
    <w:basedOn w:val="Standaardalinea-lettertype"/>
    <w:link w:val="Kop1"/>
    <w:rsid w:val="00BA3EE6"/>
    <w:rPr>
      <w:b/>
      <w:sz w:val="28"/>
      <w:u w:val="single"/>
    </w:rPr>
  </w:style>
  <w:style w:type="character" w:customStyle="1" w:styleId="Kop2Char">
    <w:name w:val="Kop 2 Char"/>
    <w:basedOn w:val="Standaardalinea-lettertype"/>
    <w:link w:val="Kop2"/>
    <w:rsid w:val="00BA3EE6"/>
    <w:rPr>
      <w:sz w:val="28"/>
    </w:rPr>
  </w:style>
  <w:style w:type="character" w:customStyle="1" w:styleId="Kop4Char">
    <w:name w:val="Kop 4 Char"/>
    <w:basedOn w:val="Standaardalinea-lettertype"/>
    <w:link w:val="Kop4"/>
    <w:semiHidden/>
    <w:rsid w:val="00BA3EE6"/>
    <w:rPr>
      <w:rFonts w:asciiTheme="minorHAnsi" w:eastAsiaTheme="minorEastAsia" w:hAnsiTheme="minorHAnsi" w:cstheme="minorBidi"/>
      <w:b/>
      <w:bCs/>
      <w:sz w:val="28"/>
      <w:szCs w:val="28"/>
    </w:rPr>
  </w:style>
  <w:style w:type="paragraph" w:styleId="Bijschrift">
    <w:name w:val="caption"/>
    <w:basedOn w:val="Standaard"/>
    <w:next w:val="Standaard"/>
    <w:semiHidden/>
    <w:unhideWhenUsed/>
    <w:qFormat/>
    <w:rsid w:val="00BA3EE6"/>
    <w:rPr>
      <w:b/>
      <w:bCs/>
      <w:sz w:val="20"/>
      <w:szCs w:val="20"/>
    </w:rPr>
  </w:style>
  <w:style w:type="paragraph" w:styleId="Geenafstand">
    <w:name w:val="No Spacing"/>
    <w:basedOn w:val="Standaard"/>
    <w:link w:val="GeenafstandChar"/>
    <w:uiPriority w:val="1"/>
    <w:qFormat/>
    <w:rsid w:val="00BA3EE6"/>
    <w:rPr>
      <w:rFonts w:eastAsia="Calibri"/>
    </w:rPr>
  </w:style>
  <w:style w:type="character" w:customStyle="1" w:styleId="GeenafstandChar">
    <w:name w:val="Geen afstand Char"/>
    <w:basedOn w:val="Standaardalinea-lettertype"/>
    <w:link w:val="Geenafstand"/>
    <w:uiPriority w:val="1"/>
    <w:rsid w:val="00BA3EE6"/>
    <w:rPr>
      <w:rFonts w:eastAsia="Calibri"/>
      <w:sz w:val="24"/>
      <w:szCs w:val="24"/>
    </w:rPr>
  </w:style>
  <w:style w:type="character" w:customStyle="1" w:styleId="Kop3Char">
    <w:name w:val="Kop 3 Char"/>
    <w:basedOn w:val="Standaardalinea-lettertype"/>
    <w:link w:val="Kop3"/>
    <w:rsid w:val="00BA3EE6"/>
    <w:rPr>
      <w:rFonts w:ascii="Arial" w:hAnsi="Arial" w:cs="Arial"/>
      <w:b/>
      <w:bCs/>
      <w:sz w:val="26"/>
      <w:szCs w:val="26"/>
    </w:rPr>
  </w:style>
  <w:style w:type="character" w:customStyle="1" w:styleId="Kop5Char">
    <w:name w:val="Kop 5 Char"/>
    <w:basedOn w:val="Standaardalinea-lettertype"/>
    <w:link w:val="Kop5"/>
    <w:rsid w:val="00BA3EE6"/>
    <w:rPr>
      <w:b/>
      <w:bCs/>
      <w:i/>
      <w:iCs/>
      <w:sz w:val="26"/>
      <w:szCs w:val="26"/>
    </w:rPr>
  </w:style>
  <w:style w:type="paragraph" w:styleId="Lijstalinea">
    <w:name w:val="List Paragraph"/>
    <w:basedOn w:val="Standaard"/>
    <w:uiPriority w:val="34"/>
    <w:qFormat/>
    <w:rsid w:val="00BA3EE6"/>
    <w:pPr>
      <w:ind w:left="720"/>
      <w:contextualSpacing/>
    </w:pPr>
  </w:style>
  <w:style w:type="table" w:styleId="Tabelraster">
    <w:name w:val="Table Grid"/>
    <w:basedOn w:val="Standaardtabel"/>
    <w:rsid w:val="00DE78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ptekst">
    <w:name w:val="header"/>
    <w:basedOn w:val="Standaard"/>
    <w:link w:val="KoptekstChar"/>
    <w:uiPriority w:val="99"/>
    <w:unhideWhenUsed/>
    <w:rsid w:val="00DE78FB"/>
    <w:pPr>
      <w:tabs>
        <w:tab w:val="center" w:pos="4536"/>
        <w:tab w:val="right" w:pos="9072"/>
      </w:tabs>
    </w:pPr>
  </w:style>
  <w:style w:type="character" w:customStyle="1" w:styleId="KoptekstChar">
    <w:name w:val="Koptekst Char"/>
    <w:basedOn w:val="Standaardalinea-lettertype"/>
    <w:link w:val="Koptekst"/>
    <w:uiPriority w:val="99"/>
    <w:rsid w:val="00DE78FB"/>
    <w:rPr>
      <w:sz w:val="24"/>
      <w:szCs w:val="24"/>
    </w:rPr>
  </w:style>
  <w:style w:type="paragraph" w:styleId="Voettekst">
    <w:name w:val="footer"/>
    <w:basedOn w:val="Standaard"/>
    <w:link w:val="VoettekstChar"/>
    <w:uiPriority w:val="99"/>
    <w:unhideWhenUsed/>
    <w:rsid w:val="00DE78FB"/>
    <w:pPr>
      <w:tabs>
        <w:tab w:val="center" w:pos="4536"/>
        <w:tab w:val="right" w:pos="9072"/>
      </w:tabs>
    </w:pPr>
  </w:style>
  <w:style w:type="character" w:customStyle="1" w:styleId="VoettekstChar">
    <w:name w:val="Voettekst Char"/>
    <w:basedOn w:val="Standaardalinea-lettertype"/>
    <w:link w:val="Voettekst"/>
    <w:uiPriority w:val="99"/>
    <w:rsid w:val="00DE78FB"/>
    <w:rPr>
      <w:sz w:val="24"/>
      <w:szCs w:val="24"/>
    </w:rPr>
  </w:style>
  <w:style w:type="paragraph" w:styleId="Ballontekst">
    <w:name w:val="Balloon Text"/>
    <w:basedOn w:val="Standaard"/>
    <w:link w:val="BallontekstChar"/>
    <w:uiPriority w:val="99"/>
    <w:semiHidden/>
    <w:unhideWhenUsed/>
    <w:rsid w:val="00DE78FB"/>
    <w:rPr>
      <w:rFonts w:ascii="Tahoma" w:hAnsi="Tahoma" w:cs="Tahoma"/>
      <w:sz w:val="16"/>
      <w:szCs w:val="16"/>
    </w:rPr>
  </w:style>
  <w:style w:type="character" w:customStyle="1" w:styleId="BallontekstChar">
    <w:name w:val="Ballontekst Char"/>
    <w:basedOn w:val="Standaardalinea-lettertype"/>
    <w:link w:val="Ballontekst"/>
    <w:uiPriority w:val="99"/>
    <w:semiHidden/>
    <w:rsid w:val="00DE78FB"/>
    <w:rPr>
      <w:rFonts w:ascii="Tahoma" w:hAnsi="Tahoma" w:cs="Tahoma"/>
      <w:sz w:val="16"/>
      <w:szCs w:val="16"/>
    </w:rPr>
  </w:style>
  <w:style w:type="paragraph" w:customStyle="1" w:styleId="Opgave">
    <w:name w:val="Opgave"/>
    <w:basedOn w:val="Standaard"/>
    <w:qFormat/>
    <w:rsid w:val="002B15F0"/>
    <w:pPr>
      <w:tabs>
        <w:tab w:val="left" w:pos="0"/>
        <w:tab w:val="left" w:pos="284"/>
        <w:tab w:val="left" w:pos="567"/>
        <w:tab w:val="left" w:pos="851"/>
      </w:tabs>
      <w:overflowPunct w:val="0"/>
      <w:autoSpaceDE w:val="0"/>
      <w:autoSpaceDN w:val="0"/>
      <w:adjustRightInd w:val="0"/>
      <w:spacing w:after="60"/>
      <w:ind w:hanging="567"/>
      <w:contextualSpacing/>
      <w:jc w:val="both"/>
      <w:textAlignment w:val="baseline"/>
    </w:pPr>
    <w:rPr>
      <w:rFonts w:ascii="Quadraat-Regular" w:hAnsi="Quadraat-Regular"/>
      <w:sz w:val="20"/>
    </w:rPr>
  </w:style>
  <w:style w:type="table" w:customStyle="1" w:styleId="LWEOTeulings">
    <w:name w:val="LWEO Teulings"/>
    <w:basedOn w:val="Standaardtabel"/>
    <w:uiPriority w:val="99"/>
    <w:qFormat/>
    <w:rsid w:val="002B15F0"/>
    <w:pPr>
      <w:jc w:val="right"/>
    </w:pPr>
    <w:rPr>
      <w:rFonts w:ascii="QuadraatSans-Caps" w:hAnsi="QuadraatSans-Caps"/>
      <w:sz w:val="18"/>
    </w:rPr>
    <w:tblPr>
      <w:tblStyleRowBandSize w:val="1"/>
      <w:tblStyleColBandSize w:val="1"/>
      <w:tblInd w:w="113" w:type="dxa"/>
      <w:tblBorders>
        <w:bottom w:val="single" w:sz="4" w:space="0" w:color="000000" w:themeColor="text1"/>
      </w:tblBorders>
    </w:tblPr>
    <w:tcPr>
      <w:vAlign w:val="center"/>
    </w:tcPr>
    <w:tblStylePr w:type="firstRow">
      <w:pPr>
        <w:jc w:val="center"/>
      </w:pPr>
      <w:rPr>
        <w:rFonts w:ascii="QuadraatSansCon-Bold" w:hAnsi="QuadraatSansCon-Bold"/>
        <w:sz w:val="18"/>
      </w:rPr>
      <w:tblPr/>
      <w:tcPr>
        <w:shd w:val="clear" w:color="auto" w:fill="000000" w:themeFill="text1"/>
      </w:tcPr>
    </w:tblStylePr>
    <w:tblStylePr w:type="lastRow">
      <w:pPr>
        <w:jc w:val="right"/>
      </w:pPr>
      <w:rPr>
        <w:rFonts w:ascii="QuadraatSansCon-Italic" w:hAnsi="QuadraatSansCon-Italic"/>
        <w:sz w:val="18"/>
      </w:rPr>
    </w:tblStylePr>
    <w:tblStylePr w:type="firstCol">
      <w:pPr>
        <w:jc w:val="left"/>
      </w:pPr>
      <w:rPr>
        <w:rFonts w:ascii="QuadraatSansCon-Regular" w:hAnsi="QuadraatSansCon-Regular"/>
      </w:rPr>
    </w:tblStylePr>
    <w:tblStylePr w:type="lastCol">
      <w:pPr>
        <w:jc w:val="right"/>
      </w:pPr>
      <w:rPr>
        <w:rFonts w:ascii="QuadraatSansCon-Italic" w:hAnsi="QuadraatSansCon-Italic"/>
      </w:rPr>
    </w:tblStylePr>
    <w:tblStylePr w:type="band1Horz">
      <w:tblPr/>
      <w:tcPr>
        <w:shd w:val="clear" w:color="auto" w:fill="BFBFBF" w:themeFill="background1" w:themeFillShade="BF"/>
      </w:tcPr>
    </w:tblStylePr>
  </w:style>
  <w:style w:type="character" w:styleId="Verwijzingopmerking">
    <w:name w:val="annotation reference"/>
    <w:basedOn w:val="Standaardalinea-lettertype"/>
    <w:uiPriority w:val="99"/>
    <w:semiHidden/>
    <w:unhideWhenUsed/>
    <w:rsid w:val="004B09FB"/>
    <w:rPr>
      <w:sz w:val="16"/>
      <w:szCs w:val="16"/>
    </w:rPr>
  </w:style>
  <w:style w:type="paragraph" w:styleId="Tekstopmerking">
    <w:name w:val="annotation text"/>
    <w:basedOn w:val="Standaard"/>
    <w:link w:val="TekstopmerkingChar"/>
    <w:uiPriority w:val="99"/>
    <w:semiHidden/>
    <w:unhideWhenUsed/>
    <w:rsid w:val="004B09FB"/>
    <w:pPr>
      <w:spacing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4B09FB"/>
    <w:rPr>
      <w:rFonts w:asciiTheme="minorHAnsi" w:eastAsiaTheme="minorHAnsi" w:hAnsiTheme="minorHAnsi" w:cstheme="minorBidi"/>
      <w:lang w:eastAsia="en-US"/>
    </w:rPr>
  </w:style>
  <w:style w:type="paragraph" w:styleId="Revisie">
    <w:name w:val="Revision"/>
    <w:hidden/>
    <w:uiPriority w:val="99"/>
    <w:semiHidden/>
    <w:rsid w:val="00CA68A4"/>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856</Words>
  <Characters>4712</Characters>
  <Application>Microsoft Office Word</Application>
  <DocSecurity>0</DocSecurity>
  <Lines>39</Lines>
  <Paragraphs>11</Paragraphs>
  <ScaleCrop>false</ScaleCrop>
  <Company/>
  <LinksUpToDate>false</LinksUpToDate>
  <CharactersWithSpaces>5557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2025-10-02T13:13:00Z</dcterms:created>
  <dcterms:modified xsi:type="dcterms:W3CDTF">2025-10-02T13:13:00Z</dcterms:modified>
</cp:coreProperties>
</file>