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22751" w14:textId="1417D21F" w:rsidR="00F46762" w:rsidRPr="00626E59" w:rsidRDefault="00054C69" w:rsidP="00F46762">
      <w:pPr>
        <w:pStyle w:val="Geenafstand"/>
        <w:rPr>
          <w:b/>
        </w:rPr>
      </w:pPr>
      <w:r>
        <w:rPr>
          <w:b/>
        </w:rPr>
        <w:t>H</w:t>
      </w:r>
      <w:r w:rsidR="00F46762" w:rsidRPr="00626E59">
        <w:rPr>
          <w:b/>
        </w:rPr>
        <w:t xml:space="preserve">oofdstuk </w:t>
      </w:r>
      <w:r w:rsidR="00C158CE">
        <w:rPr>
          <w:b/>
        </w:rPr>
        <w:t>3</w:t>
      </w:r>
    </w:p>
    <w:p w14:paraId="317B506D" w14:textId="77777777" w:rsidR="00F46762" w:rsidRDefault="00F46762" w:rsidP="00F46762">
      <w:pPr>
        <w:pStyle w:val="Geenafstand"/>
        <w:rPr>
          <w:b/>
        </w:rPr>
      </w:pPr>
    </w:p>
    <w:p w14:paraId="62C94521" w14:textId="0FAB4E2B" w:rsidR="00F46762" w:rsidRPr="00626E59" w:rsidRDefault="00F46762" w:rsidP="00F46762">
      <w:pPr>
        <w:pStyle w:val="Geenafstand"/>
        <w:rPr>
          <w:b/>
        </w:rPr>
      </w:pPr>
      <w:r w:rsidRPr="00626E59">
        <w:rPr>
          <w:b/>
        </w:rPr>
        <w:t xml:space="preserve">Opgave </w:t>
      </w:r>
      <w:r w:rsidR="00C158CE">
        <w:rPr>
          <w:b/>
        </w:rPr>
        <w:t>3</w:t>
      </w:r>
      <w:r w:rsidRPr="00626E59">
        <w:rPr>
          <w:b/>
        </w:rPr>
        <w:t>.1</w:t>
      </w:r>
    </w:p>
    <w:p w14:paraId="4C27A49D" w14:textId="77777777" w:rsidR="00C158CE" w:rsidRPr="0051514E" w:rsidRDefault="00C158CE" w:rsidP="00C158CE">
      <w:r w:rsidRPr="0051514E">
        <w:t>In tijden van hoogconjunctuur waarschuwen centrale banken vaak voor 'oververhitting' van de economie. Voor de Europese Centrale Bank (ECB) is de groei van de totale liquiditeitenmassa daarvoor een belangrijke indicator. De feitelijke groei van de liquiditeitenmassa wordt vergeleken met een door de ECB vastgestelde referentiewaarde. De referentiewaarde is opgebouwd uit de norm voor prijsstabiliteit (prijsstijging minder dan 2%) en de reële productiegroei. </w:t>
      </w:r>
      <w:proofErr w:type="gramStart"/>
      <w:r w:rsidRPr="0051514E">
        <w:t>Indien</w:t>
      </w:r>
      <w:proofErr w:type="gramEnd"/>
      <w:r w:rsidRPr="0051514E">
        <w:t> de feitelijke groei van de liquiditeitenmassa boven deze referentiewaarde komt, kan hierdoor de inflatie toenemen. </w:t>
      </w:r>
    </w:p>
    <w:p w14:paraId="27E305F6" w14:textId="77777777" w:rsidR="00C158CE" w:rsidRPr="0051514E" w:rsidRDefault="00C158CE" w:rsidP="00C158CE">
      <w:r>
        <w:t>In de figuur wordt een aantal relaties op de geldmarkt in enge zin* van de Eurozone in beeld gebracht. Alle pijlen geven oorzakelijke verbanden weer (</w:t>
      </w:r>
      <w:proofErr w:type="spellStart"/>
      <w:r>
        <w:t>ceteris</w:t>
      </w:r>
      <w:proofErr w:type="spellEnd"/>
      <w:r>
        <w:t> </w:t>
      </w:r>
      <w:proofErr w:type="spellStart"/>
      <w:r>
        <w:t>paribus</w:t>
      </w:r>
      <w:proofErr w:type="spellEnd"/>
      <w:r>
        <w:t>). Een “+” geeft een positief verband aan en een “</w:t>
      </w:r>
      <w:r>
        <w:rPr>
          <w:b/>
          <w:bCs/>
        </w:rPr>
        <w:sym w:font="Symbol" w:char="F02D"/>
      </w:r>
      <w:r>
        <w:t>“ een negatief verband. </w:t>
      </w:r>
    </w:p>
    <w:p w14:paraId="4B68698F" w14:textId="77777777" w:rsidR="00C158CE" w:rsidRPr="0051514E" w:rsidRDefault="00C158CE" w:rsidP="00C158CE">
      <w:r w:rsidRPr="0051514E">
        <w:t> </w:t>
      </w:r>
      <w:r>
        <w:rPr>
          <w:noProof/>
        </w:rPr>
        <w:drawing>
          <wp:inline distT="0" distB="0" distL="0" distR="0" wp14:anchorId="538D42FC" wp14:editId="6D4FA2D9">
            <wp:extent cx="5029200" cy="1257300"/>
            <wp:effectExtent l="0" t="0" r="0" b="0"/>
            <wp:docPr id="2139753" name="Afbeelding 2" descr="Beschrijving: V02t2tot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schrijving: V02t2totfig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9200" cy="1257300"/>
                    </a:xfrm>
                    <a:prstGeom prst="rect">
                      <a:avLst/>
                    </a:prstGeom>
                    <a:noFill/>
                    <a:ln>
                      <a:noFill/>
                    </a:ln>
                  </pic:spPr>
                </pic:pic>
              </a:graphicData>
            </a:graphic>
          </wp:inline>
        </w:drawing>
      </w:r>
      <w:r>
        <w:t> </w:t>
      </w:r>
    </w:p>
    <w:p w14:paraId="7FA67FD1" w14:textId="77777777" w:rsidR="00C158CE" w:rsidRPr="002B1190" w:rsidRDefault="00C158CE" w:rsidP="00C158CE">
      <w:pPr>
        <w:rPr>
          <w:i/>
          <w:iCs/>
        </w:rPr>
      </w:pPr>
      <w:r w:rsidRPr="6E199367">
        <w:rPr>
          <w:i/>
          <w:iCs/>
        </w:rPr>
        <w:t>* Bij de geldmarkt in enge zin wordt enkel gekeken naar transacties tussen banken onderling en de centrale bank.</w:t>
      </w:r>
    </w:p>
    <w:p w14:paraId="31827235" w14:textId="77777777" w:rsidR="00C158CE" w:rsidRPr="0051514E" w:rsidRDefault="00C158CE" w:rsidP="00C158CE">
      <w:r w:rsidRPr="0051514E">
        <w:t>1.</w:t>
      </w:r>
      <w:r w:rsidRPr="0051514E">
        <w:tab/>
        <w:t>Verklaar het negatieve verband tussen de totale waarde van de bankbiljetten in omloop en de ruimte op de geldmarkt in enge zin. </w:t>
      </w:r>
    </w:p>
    <w:p w14:paraId="746429B3" w14:textId="77777777" w:rsidR="00C158CE" w:rsidRPr="0051514E" w:rsidRDefault="00C158CE" w:rsidP="00C158CE">
      <w:r w:rsidRPr="0051514E">
        <w:t>2.</w:t>
      </w:r>
      <w:r w:rsidRPr="0051514E">
        <w:tab/>
        <w:t xml:space="preserve">Leg uit dat </w:t>
      </w:r>
      <w:r>
        <w:t xml:space="preserve">als de </w:t>
      </w:r>
      <w:r w:rsidRPr="0051514E">
        <w:t xml:space="preserve">feitelijke groei van de liquiditeitenmassa </w:t>
      </w:r>
      <w:r>
        <w:t>groter is dan</w:t>
      </w:r>
      <w:r w:rsidRPr="0051514E">
        <w:t xml:space="preserve"> de referentiewaarde </w:t>
      </w:r>
      <w:r>
        <w:t xml:space="preserve">dat </w:t>
      </w:r>
      <w:r w:rsidRPr="0051514E">
        <w:t>kan leiden tot een toename van de inflatie. </w:t>
      </w:r>
    </w:p>
    <w:p w14:paraId="41A0BF0C" w14:textId="77777777" w:rsidR="00C158CE" w:rsidRPr="0051514E" w:rsidRDefault="00C158CE" w:rsidP="00C158CE">
      <w:r w:rsidRPr="0051514E">
        <w:t>Om het gevaar van oplopende inflatie te bestrijden kan de ECB meerdere maatregelen nemen. De ECB kan waardepapieren verkopen aan de geldscheppende banken met als doel de ruimte op de geldmarkt</w:t>
      </w:r>
      <w:r>
        <w:t xml:space="preserve"> te beïnvloeden</w:t>
      </w:r>
      <w:r w:rsidRPr="0051514E">
        <w:t>. Hierdoor kan de rentestand veranderen. Ook kan de ECB ingrijpen door aanpassing van het officiële rentetarief. </w:t>
      </w:r>
    </w:p>
    <w:p w14:paraId="4ECE157C" w14:textId="77777777" w:rsidR="00C158CE" w:rsidRPr="0051514E" w:rsidRDefault="00C158CE" w:rsidP="00C158CE">
      <w:r w:rsidRPr="0051514E">
        <w:t>3.</w:t>
      </w:r>
      <w:r w:rsidRPr="0051514E">
        <w:tab/>
      </w:r>
      <w:r>
        <w:t>Verklaar w</w:t>
      </w:r>
      <w:r w:rsidRPr="0051514E">
        <w:t>elk teken (+ of </w:t>
      </w:r>
      <w:r>
        <w:rPr>
          <w:b/>
          <w:bCs/>
        </w:rPr>
        <w:sym w:font="Symbol" w:char="F02D"/>
      </w:r>
      <w:r w:rsidRPr="0051514E">
        <w:t xml:space="preserve">) hoort bij pijl a in figuur 1? </w:t>
      </w:r>
    </w:p>
    <w:p w14:paraId="531B25FD" w14:textId="77777777" w:rsidR="00C158CE" w:rsidRPr="0051514E" w:rsidRDefault="00C158CE" w:rsidP="00C158CE">
      <w:r w:rsidRPr="0051514E">
        <w:t>4.</w:t>
      </w:r>
      <w:r w:rsidRPr="0051514E">
        <w:tab/>
        <w:t>Welke aanpassing van het officiële rentetarief door de ECB is nodig om dit inflatiegevaar te bestrijden? Licht het antwoord toe. </w:t>
      </w:r>
    </w:p>
    <w:p w14:paraId="0241AF2B" w14:textId="77777777" w:rsidR="00341B3E" w:rsidRDefault="00341B3E">
      <w:pPr>
        <w:rPr>
          <w:b/>
        </w:rPr>
      </w:pPr>
      <w:r>
        <w:rPr>
          <w:b/>
        </w:rPr>
        <w:br w:type="page"/>
      </w:r>
    </w:p>
    <w:p w14:paraId="31D1DE15" w14:textId="1330FE12" w:rsidR="00F46762" w:rsidRPr="00626E59" w:rsidRDefault="00F46762" w:rsidP="00F46762">
      <w:pPr>
        <w:pStyle w:val="Geenafstand"/>
        <w:rPr>
          <w:b/>
        </w:rPr>
      </w:pPr>
      <w:r w:rsidRPr="00626E59">
        <w:rPr>
          <w:b/>
        </w:rPr>
        <w:lastRenderedPageBreak/>
        <w:t xml:space="preserve">Uitwerkingen hoofdstuk </w:t>
      </w:r>
      <w:r w:rsidR="00C158CE">
        <w:rPr>
          <w:b/>
        </w:rPr>
        <w:t>3</w:t>
      </w:r>
    </w:p>
    <w:p w14:paraId="2B09BDD7" w14:textId="77777777" w:rsidR="00341B3E" w:rsidRDefault="00341B3E" w:rsidP="00F46762">
      <w:pPr>
        <w:pStyle w:val="Geenafstand"/>
        <w:rPr>
          <w:b/>
        </w:rPr>
      </w:pPr>
    </w:p>
    <w:p w14:paraId="5B419E80" w14:textId="793286C3" w:rsidR="00F46762" w:rsidRPr="00626E59" w:rsidRDefault="00F46762" w:rsidP="00F46762">
      <w:pPr>
        <w:pStyle w:val="Geenafstand"/>
        <w:rPr>
          <w:b/>
        </w:rPr>
      </w:pPr>
      <w:r w:rsidRPr="00626E59">
        <w:rPr>
          <w:b/>
        </w:rPr>
        <w:t>Opgave</w:t>
      </w:r>
      <w:r w:rsidR="00341B3E">
        <w:rPr>
          <w:b/>
        </w:rPr>
        <w:t xml:space="preserve"> </w:t>
      </w:r>
      <w:r w:rsidR="00C158CE">
        <w:rPr>
          <w:b/>
        </w:rPr>
        <w:t>3</w:t>
      </w:r>
      <w:r w:rsidR="00341B3E">
        <w:rPr>
          <w:b/>
        </w:rPr>
        <w:t>.1</w:t>
      </w:r>
    </w:p>
    <w:p w14:paraId="156F9AE9" w14:textId="5EE4E6E7" w:rsidR="00C158CE" w:rsidRPr="0051514E" w:rsidRDefault="00C158CE" w:rsidP="00C158CE">
      <w:r w:rsidRPr="0051514E">
        <w:t>1.</w:t>
      </w:r>
      <w:r w:rsidRPr="0051514E">
        <w:tab/>
        <w:t>Als het publiek bankbiljetten opvraagt</w:t>
      </w:r>
      <w:r>
        <w:t xml:space="preserve">, betalen </w:t>
      </w:r>
      <w:r w:rsidRPr="0051514E">
        <w:t xml:space="preserve">banken </w:t>
      </w:r>
      <w:r>
        <w:t xml:space="preserve">met hun tegoed bij </w:t>
      </w:r>
      <w:r w:rsidRPr="0051514E">
        <w:t xml:space="preserve">de centrale bank waardoor hun liquiditeit afneemt en de geldmarkt verkrapt. Als het publiek bankbiljetten inlevert geven banken deze terug aan de centrale bank, in ruil voor </w:t>
      </w:r>
      <w:proofErr w:type="gramStart"/>
      <w:r>
        <w:t>tegoed</w:t>
      </w:r>
      <w:proofErr w:type="gramEnd"/>
      <w:r w:rsidRPr="0051514E">
        <w:t>, waardoor de geldmarkt verruimt. </w:t>
      </w:r>
    </w:p>
    <w:p w14:paraId="2F206489" w14:textId="2704396C" w:rsidR="00C158CE" w:rsidRPr="0051514E" w:rsidRDefault="00C158CE" w:rsidP="00C158CE">
      <w:r w:rsidRPr="0051514E">
        <w:t>2.</w:t>
      </w:r>
      <w:r w:rsidRPr="0051514E">
        <w:tab/>
      </w:r>
      <w:proofErr w:type="gramStart"/>
      <w:r>
        <w:t>Indien</w:t>
      </w:r>
      <w:proofErr w:type="gramEnd"/>
      <w:r>
        <w:t> de groei van de liquiditeitenmassa groter is dan de referentiewaarde, zijn er meer liquiditeiten dan nodig vanwege bestaande prijsstijging en groei. Dat kan leiden tot extra bestedingen. Bij achterblijvende groei van de productiecapaciteit leidt dit tot overbesteding en dus tot extra bestedingsinflatie.</w:t>
      </w:r>
    </w:p>
    <w:p w14:paraId="6D8E9A24" w14:textId="14F341DD" w:rsidR="00C158CE" w:rsidRPr="0051514E" w:rsidRDefault="00C158CE" w:rsidP="00C158CE">
      <w:r w:rsidRPr="0051514E">
        <w:t>3.</w:t>
      </w:r>
      <w:r w:rsidRPr="0051514E">
        <w:tab/>
      </w:r>
      <w:r>
        <w:t xml:space="preserve">Een </w:t>
      </w:r>
      <w:r w:rsidRPr="0051514E">
        <w:t>plus (+)</w:t>
      </w:r>
      <w:r>
        <w:t>, want een positief verband.</w:t>
      </w:r>
      <w:r w:rsidRPr="0051514E">
        <w:t> </w:t>
      </w:r>
    </w:p>
    <w:p w14:paraId="12BC392A" w14:textId="77777777" w:rsidR="00C158CE" w:rsidRDefault="00C158CE" w:rsidP="00C158CE">
      <w:r w:rsidRPr="0051514E">
        <w:t>Door de verkoop</w:t>
      </w:r>
      <w:r>
        <w:t xml:space="preserve"> </w:t>
      </w:r>
      <w:r w:rsidRPr="0051514E">
        <w:t>van waardepapieren aan</w:t>
      </w:r>
      <w:r>
        <w:t xml:space="preserve"> </w:t>
      </w:r>
      <w:r w:rsidRPr="0051514E">
        <w:t>geldscheppende banken daalt</w:t>
      </w:r>
      <w:r>
        <w:t xml:space="preserve"> </w:t>
      </w:r>
      <w:r w:rsidRPr="0051514E">
        <w:t xml:space="preserve">de voorraad waardepapieren bij de ECB. </w:t>
      </w:r>
      <w:r>
        <w:t>Daarmee</w:t>
      </w:r>
      <w:r w:rsidRPr="0051514E">
        <w:t xml:space="preserve"> verslechtert</w:t>
      </w:r>
      <w:r>
        <w:t xml:space="preserve"> </w:t>
      </w:r>
      <w:r w:rsidRPr="0051514E">
        <w:t>de liquiditeitspositie van deze banken waardoor de ruimte op de geldmarkt kleiner</w:t>
      </w:r>
      <w:r>
        <w:t xml:space="preserve"> </w:t>
      </w:r>
      <w:r w:rsidRPr="0051514E">
        <w:t>wordt. </w:t>
      </w:r>
    </w:p>
    <w:p w14:paraId="59E9AAE4" w14:textId="77777777" w:rsidR="00C158CE" w:rsidRPr="0051514E" w:rsidRDefault="00C158CE" w:rsidP="00C158CE">
      <w:r>
        <w:t xml:space="preserve">Door de aankoop van waardepapieren gebeurt het omgekeerde. </w:t>
      </w:r>
    </w:p>
    <w:p w14:paraId="68D3A862" w14:textId="0C5C997A" w:rsidR="00C158CE" w:rsidRPr="004B0AFC" w:rsidRDefault="00C158CE" w:rsidP="00C158CE">
      <w:r w:rsidRPr="0051514E">
        <w:t>4.</w:t>
      </w:r>
      <w:r w:rsidRPr="0051514E">
        <w:tab/>
      </w:r>
      <w:r>
        <w:t xml:space="preserve">Een </w:t>
      </w:r>
      <w:r w:rsidRPr="0051514E">
        <w:t xml:space="preserve">verhoging van het </w:t>
      </w:r>
      <w:r>
        <w:t>rente</w:t>
      </w:r>
      <w:r w:rsidRPr="0051514E">
        <w:t>tarief</w:t>
      </w:r>
      <w:r>
        <w:t>. De ECB maakt op deze manier lenen minder aantrekkelijk en sparen aantrekkelijker. Dat kan de bestedingsgroei en de groei van de liquiditeitenmassa afremmen. </w:t>
      </w:r>
    </w:p>
    <w:p w14:paraId="377CAA45" w14:textId="00B26F42" w:rsidR="00341B3E" w:rsidRDefault="00341B3E" w:rsidP="00A81A49"/>
    <w:sectPr w:rsidR="00341B3E">
      <w:headerReference w:type="default" r:id="rId8"/>
      <w:pgSz w:w="16701" w:h="16838"/>
      <w:pgMar w:top="1417" w:right="6212"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80C15" w14:textId="77777777" w:rsidR="00910D9C" w:rsidRDefault="00910D9C" w:rsidP="00054C69">
      <w:pPr>
        <w:spacing w:after="0" w:line="240" w:lineRule="auto"/>
      </w:pPr>
      <w:r>
        <w:separator/>
      </w:r>
    </w:p>
  </w:endnote>
  <w:endnote w:type="continuationSeparator" w:id="0">
    <w:p w14:paraId="65D8C249" w14:textId="77777777" w:rsidR="00910D9C" w:rsidRDefault="00910D9C" w:rsidP="00054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20CF9" w14:textId="77777777" w:rsidR="00910D9C" w:rsidRDefault="00910D9C" w:rsidP="00054C69">
      <w:pPr>
        <w:spacing w:after="0" w:line="240" w:lineRule="auto"/>
      </w:pPr>
      <w:r>
        <w:separator/>
      </w:r>
    </w:p>
  </w:footnote>
  <w:footnote w:type="continuationSeparator" w:id="0">
    <w:p w14:paraId="53202CDA" w14:textId="77777777" w:rsidR="00910D9C" w:rsidRDefault="00910D9C" w:rsidP="00054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46EF" w14:textId="6C146C06" w:rsidR="00054C69" w:rsidRDefault="00054C69" w:rsidP="00054C69">
    <w:pPr>
      <w:pStyle w:val="Koptekst"/>
      <w:jc w:val="right"/>
      <w:rPr>
        <w:rFonts w:ascii="Arial" w:hAnsi="Arial" w:cs="Arial"/>
        <w:sz w:val="16"/>
        <w:szCs w:val="16"/>
      </w:rPr>
    </w:pPr>
    <w:r>
      <w:rPr>
        <w:noProof/>
        <w:sz w:val="20"/>
        <w:szCs w:val="20"/>
        <w:lang w:eastAsia="nl-NL"/>
      </w:rPr>
      <w:drawing>
        <wp:inline distT="0" distB="0" distL="0" distR="0" wp14:anchorId="3D663F04" wp14:editId="27B27849">
          <wp:extent cx="342900" cy="3429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Pr>
        <w:rFonts w:ascii="Arial" w:hAnsi="Arial" w:cs="Arial"/>
        <w:sz w:val="16"/>
        <w:szCs w:val="16"/>
      </w:rPr>
      <w:t xml:space="preserve"> Monetaire Zaken </w:t>
    </w:r>
    <w:r w:rsidR="008A1D16">
      <w:rPr>
        <w:rFonts w:ascii="Arial" w:hAnsi="Arial" w:cs="Arial"/>
        <w:sz w:val="16"/>
        <w:szCs w:val="16"/>
      </w:rPr>
      <w:t>3</w:t>
    </w:r>
    <w:r w:rsidR="008A1D16" w:rsidRPr="008A1D16">
      <w:rPr>
        <w:rFonts w:ascii="Arial" w:hAnsi="Arial" w:cs="Arial"/>
        <w:sz w:val="16"/>
        <w:szCs w:val="16"/>
        <w:vertAlign w:val="superscript"/>
      </w:rPr>
      <w:t>e</w:t>
    </w:r>
    <w:r w:rsidR="008A1D16">
      <w:rPr>
        <w:rFonts w:ascii="Arial" w:hAnsi="Arial" w:cs="Arial"/>
        <w:sz w:val="16"/>
        <w:szCs w:val="16"/>
      </w:rPr>
      <w:t xml:space="preserve"> druk </w:t>
    </w:r>
    <w:r>
      <w:rPr>
        <w:rFonts w:ascii="Arial" w:hAnsi="Arial" w:cs="Arial"/>
        <w:sz w:val="16"/>
        <w:szCs w:val="16"/>
      </w:rPr>
      <w:t>extra oefenopgaven (website)</w:t>
    </w:r>
    <w:r>
      <w:rPr>
        <w:rFonts w:ascii="Arial" w:hAnsi="Arial" w:cs="Arial"/>
        <w:sz w:val="16"/>
        <w:szCs w:val="16"/>
      </w:rPr>
      <w:tab/>
    </w:r>
    <w:r>
      <w:rPr>
        <w:rFonts w:ascii="Arial" w:hAnsi="Arial" w:cs="Arial"/>
        <w:sz w:val="16"/>
        <w:szCs w:val="16"/>
      </w:rPr>
      <w:tab/>
    </w: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sidR="001E3194">
      <w:rPr>
        <w:rFonts w:ascii="Arial" w:hAnsi="Arial" w:cs="Arial"/>
        <w:noProof/>
        <w:sz w:val="16"/>
        <w:szCs w:val="16"/>
      </w:rPr>
      <w:t>5</w:t>
    </w:r>
    <w:r>
      <w:rPr>
        <w:rFonts w:ascii="Arial" w:hAnsi="Arial" w:cs="Arial"/>
        <w:sz w:val="16"/>
        <w:szCs w:val="16"/>
      </w:rPr>
      <w:fldChar w:fldCharType="end"/>
    </w:r>
  </w:p>
  <w:p w14:paraId="007420B9" w14:textId="77777777" w:rsidR="00054C69" w:rsidRDefault="00054C6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7067"/>
    <w:multiLevelType w:val="hybridMultilevel"/>
    <w:tmpl w:val="DF94AF6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41375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762"/>
    <w:rsid w:val="00054C69"/>
    <w:rsid w:val="001D3B65"/>
    <w:rsid w:val="001E3194"/>
    <w:rsid w:val="002206C0"/>
    <w:rsid w:val="00341B3E"/>
    <w:rsid w:val="00535614"/>
    <w:rsid w:val="005A5BA3"/>
    <w:rsid w:val="00685DDE"/>
    <w:rsid w:val="006C0211"/>
    <w:rsid w:val="008A1D16"/>
    <w:rsid w:val="008A62AE"/>
    <w:rsid w:val="008E659C"/>
    <w:rsid w:val="00910D9C"/>
    <w:rsid w:val="00A81A49"/>
    <w:rsid w:val="00B07EEF"/>
    <w:rsid w:val="00B529EB"/>
    <w:rsid w:val="00BB6EAD"/>
    <w:rsid w:val="00C158CE"/>
    <w:rsid w:val="00D501B3"/>
    <w:rsid w:val="00EC4AAA"/>
    <w:rsid w:val="00EC5336"/>
    <w:rsid w:val="00EE4CF8"/>
    <w:rsid w:val="00F467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9051D"/>
  <w15:docId w15:val="{163136E2-0917-474C-B5C4-91F7F59DE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676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46762"/>
    <w:pPr>
      <w:spacing w:after="0" w:line="240" w:lineRule="auto"/>
    </w:pPr>
  </w:style>
  <w:style w:type="paragraph" w:styleId="Ballontekst">
    <w:name w:val="Balloon Text"/>
    <w:basedOn w:val="Standaard"/>
    <w:link w:val="BallontekstChar"/>
    <w:uiPriority w:val="99"/>
    <w:semiHidden/>
    <w:unhideWhenUsed/>
    <w:rsid w:val="00F4676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6762"/>
    <w:rPr>
      <w:rFonts w:ascii="Tahoma" w:hAnsi="Tahoma" w:cs="Tahoma"/>
      <w:sz w:val="16"/>
      <w:szCs w:val="16"/>
    </w:rPr>
  </w:style>
  <w:style w:type="character" w:styleId="Verwijzingopmerking">
    <w:name w:val="annotation reference"/>
    <w:basedOn w:val="Standaardalinea-lettertype"/>
    <w:uiPriority w:val="99"/>
    <w:semiHidden/>
    <w:unhideWhenUsed/>
    <w:rsid w:val="008A62AE"/>
    <w:rPr>
      <w:sz w:val="16"/>
      <w:szCs w:val="16"/>
    </w:rPr>
  </w:style>
  <w:style w:type="paragraph" w:styleId="Tekstopmerking">
    <w:name w:val="annotation text"/>
    <w:basedOn w:val="Standaard"/>
    <w:link w:val="TekstopmerkingChar"/>
    <w:uiPriority w:val="99"/>
    <w:semiHidden/>
    <w:unhideWhenUsed/>
    <w:rsid w:val="008A62A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A62AE"/>
    <w:rPr>
      <w:sz w:val="20"/>
      <w:szCs w:val="20"/>
    </w:rPr>
  </w:style>
  <w:style w:type="paragraph" w:styleId="Onderwerpvanopmerking">
    <w:name w:val="annotation subject"/>
    <w:basedOn w:val="Tekstopmerking"/>
    <w:next w:val="Tekstopmerking"/>
    <w:link w:val="OnderwerpvanopmerkingChar"/>
    <w:uiPriority w:val="99"/>
    <w:semiHidden/>
    <w:unhideWhenUsed/>
    <w:rsid w:val="008A62AE"/>
    <w:rPr>
      <w:b/>
      <w:bCs/>
    </w:rPr>
  </w:style>
  <w:style w:type="character" w:customStyle="1" w:styleId="OnderwerpvanopmerkingChar">
    <w:name w:val="Onderwerp van opmerking Char"/>
    <w:basedOn w:val="TekstopmerkingChar"/>
    <w:link w:val="Onderwerpvanopmerking"/>
    <w:uiPriority w:val="99"/>
    <w:semiHidden/>
    <w:rsid w:val="008A62AE"/>
    <w:rPr>
      <w:b/>
      <w:bCs/>
      <w:sz w:val="20"/>
      <w:szCs w:val="20"/>
    </w:rPr>
  </w:style>
  <w:style w:type="paragraph" w:styleId="Koptekst">
    <w:name w:val="header"/>
    <w:basedOn w:val="Standaard"/>
    <w:link w:val="KoptekstChar"/>
    <w:uiPriority w:val="99"/>
    <w:unhideWhenUsed/>
    <w:rsid w:val="00054C6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4C69"/>
  </w:style>
  <w:style w:type="paragraph" w:styleId="Voettekst">
    <w:name w:val="footer"/>
    <w:basedOn w:val="Standaard"/>
    <w:link w:val="VoettekstChar"/>
    <w:uiPriority w:val="99"/>
    <w:unhideWhenUsed/>
    <w:rsid w:val="00054C6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4C69"/>
  </w:style>
  <w:style w:type="paragraph" w:styleId="Lijstalinea">
    <w:name w:val="List Paragraph"/>
    <w:basedOn w:val="Standaard"/>
    <w:uiPriority w:val="34"/>
    <w:qFormat/>
    <w:rsid w:val="00341B3E"/>
    <w:pPr>
      <w:spacing w:after="0" w:line="288" w:lineRule="auto"/>
      <w:ind w:left="720"/>
      <w:contextualSpacing/>
    </w:pPr>
    <w:rPr>
      <w:rFonts w:ascii="Arial" w:eastAsia="Times New Roman" w:hAnsi="Arial"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6554">
      <w:bodyDiv w:val="1"/>
      <w:marLeft w:val="0"/>
      <w:marRight w:val="0"/>
      <w:marTop w:val="0"/>
      <w:marBottom w:val="0"/>
      <w:divBdr>
        <w:top w:val="none" w:sz="0" w:space="0" w:color="auto"/>
        <w:left w:val="none" w:sz="0" w:space="0" w:color="auto"/>
        <w:bottom w:val="none" w:sz="0" w:space="0" w:color="auto"/>
        <w:right w:val="none" w:sz="0" w:space="0" w:color="auto"/>
      </w:divBdr>
    </w:div>
    <w:div w:id="21871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450</Words>
  <Characters>2476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Repriels</dc:creator>
  <cp:lastModifiedBy>Detlev Hiep | LWEO</cp:lastModifiedBy>
  <cp:revision>3</cp:revision>
  <dcterms:created xsi:type="dcterms:W3CDTF">2026-10-12T09:09:00Z</dcterms:created>
  <dcterms:modified xsi:type="dcterms:W3CDTF">2026-10-12T09:11:00Z</dcterms:modified>
</cp:coreProperties>
</file>